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E5" w:rsidRPr="00124A3E" w:rsidRDefault="004E4010" w:rsidP="00124A3E">
      <w:pPr>
        <w:pStyle w:val="Heading1"/>
      </w:pPr>
      <w:r w:rsidRPr="00124A3E">
        <w:t xml:space="preserve">Agency </w:t>
      </w:r>
      <w:r w:rsidR="00124A3E">
        <w:t xml:space="preserve">ERA </w:t>
      </w:r>
      <w:r w:rsidRPr="00124A3E">
        <w:t>Adoption Report</w:t>
      </w:r>
    </w:p>
    <w:p w:rsidR="004E4010" w:rsidRDefault="004E4010"/>
    <w:p w:rsidR="004E4010" w:rsidRDefault="00045280" w:rsidP="00124A3E">
      <w:pPr>
        <w:pStyle w:val="IntenseQuote"/>
      </w:pPr>
      <w:r>
        <w:t xml:space="preserve">Adoption </w:t>
      </w:r>
      <w:r w:rsidR="004E4010">
        <w:t>Goal</w:t>
      </w:r>
    </w:p>
    <w:p w:rsidR="004E4010" w:rsidRDefault="00220FFD" w:rsidP="004E4010">
      <w:pPr>
        <w:ind w:left="1440"/>
      </w:pPr>
      <w:r>
        <w:t>Accord</w:t>
      </w:r>
      <w:r w:rsidR="00B5780C">
        <w:t>ing to NARA Strategic Goal 3, NARA</w:t>
      </w:r>
      <w:r w:rsidRPr="00220FFD">
        <w:t xml:space="preserve"> will address the challenges of electronic records in Government to ensure success in fulfilling NARA’s mission in the digital</w:t>
      </w:r>
      <w:r>
        <w:t xml:space="preserve"> era.  Central to achieving this goal is the </w:t>
      </w:r>
      <w:r w:rsidR="004E4010" w:rsidRPr="004E4010">
        <w:t>acceptance and use of ERA by Federal agencies</w:t>
      </w:r>
      <w:r>
        <w:t xml:space="preserve">.  </w:t>
      </w:r>
      <w:r w:rsidR="004E4010" w:rsidRPr="004E4010">
        <w:t>Th</w:t>
      </w:r>
      <w:r w:rsidR="004D7442">
        <w:t xml:space="preserve">e </w:t>
      </w:r>
      <w:r w:rsidR="004E4010" w:rsidRPr="004E4010">
        <w:t>increased use of ERA to schedule, ingest, process, and store electronic records from Federal agencies, Congress, and the Executive Office of the President</w:t>
      </w:r>
      <w:r w:rsidR="00196EB8">
        <w:t xml:space="preserve"> will result in better management of Federal records, in particular the preservation of permanent electronic records</w:t>
      </w:r>
      <w:r w:rsidR="004E4010" w:rsidRPr="004E4010">
        <w:t>.</w:t>
      </w:r>
    </w:p>
    <w:p w:rsidR="004E4010" w:rsidRDefault="00045280" w:rsidP="00124A3E">
      <w:pPr>
        <w:pStyle w:val="IntenseQuote"/>
      </w:pPr>
      <w:r>
        <w:t xml:space="preserve">Adoption </w:t>
      </w:r>
      <w:r w:rsidR="004E4010">
        <w:t>Plan</w:t>
      </w:r>
    </w:p>
    <w:p w:rsidR="00F82C40" w:rsidRDefault="00F82C40" w:rsidP="004E4010">
      <w:pPr>
        <w:ind w:left="1440"/>
      </w:pPr>
      <w:r>
        <w:t>With the concurrence of OMB, NARA established the following targets in the fall of 2009:</w:t>
      </w:r>
    </w:p>
    <w:p w:rsidR="006C38AE" w:rsidRDefault="00F82C40" w:rsidP="004E4010">
      <w:pPr>
        <w:ind w:left="1440"/>
      </w:pPr>
      <w:r>
        <w:t xml:space="preserve"> </w:t>
      </w:r>
    </w:p>
    <w:p w:rsidR="006C38AE" w:rsidRDefault="004E4010" w:rsidP="006C38AE">
      <w:pPr>
        <w:pStyle w:val="ListParagraph"/>
        <w:numPr>
          <w:ilvl w:val="0"/>
          <w:numId w:val="1"/>
        </w:numPr>
      </w:pPr>
      <w:r w:rsidRPr="004E4010">
        <w:t xml:space="preserve">ERA </w:t>
      </w:r>
      <w:r w:rsidR="00196EB8">
        <w:t xml:space="preserve">will be the preferred method </w:t>
      </w:r>
      <w:r w:rsidR="00FE558D" w:rsidRPr="00196EB8">
        <w:t>for scheduling records in any media regardless of classification and transferring permanent records to NARA</w:t>
      </w:r>
      <w:r w:rsidR="00196EB8">
        <w:t xml:space="preserve"> </w:t>
      </w:r>
      <w:r w:rsidRPr="004E4010">
        <w:t xml:space="preserve">by July 2011 and will be </w:t>
      </w:r>
      <w:r w:rsidR="00196EB8">
        <w:t xml:space="preserve">the </w:t>
      </w:r>
      <w:r w:rsidRPr="004E4010">
        <w:t xml:space="preserve">mandatory </w:t>
      </w:r>
      <w:r w:rsidR="00196EB8">
        <w:t xml:space="preserve">method </w:t>
      </w:r>
      <w:r w:rsidRPr="004E4010">
        <w:t xml:space="preserve">for agencies in 2012.  </w:t>
      </w:r>
    </w:p>
    <w:p w:rsidR="006E70B0" w:rsidRDefault="006E70B0" w:rsidP="006E70B0">
      <w:pPr>
        <w:pStyle w:val="ListParagraph"/>
        <w:ind w:left="1800"/>
      </w:pPr>
    </w:p>
    <w:p w:rsidR="00F60609" w:rsidRDefault="004E4010" w:rsidP="00861429">
      <w:pPr>
        <w:pStyle w:val="ListParagraph"/>
        <w:numPr>
          <w:ilvl w:val="0"/>
          <w:numId w:val="1"/>
        </w:numPr>
      </w:pPr>
      <w:r w:rsidRPr="004E4010">
        <w:t xml:space="preserve">NARA current </w:t>
      </w:r>
      <w:r w:rsidR="00196EB8">
        <w:t xml:space="preserve">strategy for achieving full deployment of ERA </w:t>
      </w:r>
      <w:r w:rsidRPr="004E4010">
        <w:t xml:space="preserve">is to add the 30 </w:t>
      </w:r>
      <w:r w:rsidR="00196EB8">
        <w:t xml:space="preserve">member agencies of the </w:t>
      </w:r>
      <w:r w:rsidRPr="004E4010">
        <w:t xml:space="preserve">CIO Council to ERA during the period from March 2011 through November </w:t>
      </w:r>
      <w:r w:rsidR="006C38AE">
        <w:t xml:space="preserve">2011 (ERA Adoption Phase 1) and </w:t>
      </w:r>
      <w:r w:rsidRPr="004E4010">
        <w:t>the rest of the agencies from July 2011 through September 201</w:t>
      </w:r>
      <w:r w:rsidR="006C38AE">
        <w:t>2</w:t>
      </w:r>
      <w:r w:rsidRPr="004E4010">
        <w:t xml:space="preserve"> (ERA Adoption Phase 2).  </w:t>
      </w:r>
    </w:p>
    <w:p w:rsidR="0095311A" w:rsidRDefault="006F7903" w:rsidP="00124A3E">
      <w:pPr>
        <w:pStyle w:val="IntenseQuote"/>
      </w:pPr>
      <w:r>
        <w:t xml:space="preserve">Adoption </w:t>
      </w:r>
      <w:r w:rsidR="0095311A">
        <w:t>Pr</w:t>
      </w:r>
      <w:r w:rsidR="007F5E59">
        <w:t>ogress (as of September 30, 2012</w:t>
      </w:r>
      <w:r w:rsidR="0095311A">
        <w:t>)</w:t>
      </w:r>
    </w:p>
    <w:p w:rsidR="0095311A" w:rsidRDefault="00861429" w:rsidP="006C38AE">
      <w:pPr>
        <w:ind w:left="1440"/>
      </w:pPr>
      <w:r>
        <w:t>ERA Adoption Phase 1</w:t>
      </w:r>
    </w:p>
    <w:p w:rsidR="0095311A" w:rsidRDefault="0095311A" w:rsidP="006C38AE">
      <w:pPr>
        <w:ind w:left="1440"/>
      </w:pPr>
      <w:r>
        <w:t xml:space="preserve"> </w:t>
      </w:r>
    </w:p>
    <w:p w:rsidR="00861429" w:rsidRDefault="007F5E59" w:rsidP="006C38AE">
      <w:pPr>
        <w:ind w:left="1440"/>
      </w:pPr>
      <w:r>
        <w:t xml:space="preserve">All </w:t>
      </w:r>
      <w:r w:rsidR="0095311A">
        <w:t xml:space="preserve">30 agencies have started using ERA.  </w:t>
      </w:r>
      <w:r w:rsidR="00124A3E">
        <w:t>NARA</w:t>
      </w:r>
      <w:r w:rsidR="0095311A">
        <w:t xml:space="preserve"> define</w:t>
      </w:r>
      <w:r w:rsidR="00124A3E">
        <w:t>s</w:t>
      </w:r>
      <w:r w:rsidR="0095311A">
        <w:t xml:space="preserve"> a “start” </w:t>
      </w:r>
      <w:r w:rsidR="00124A3E">
        <w:t xml:space="preserve">as at least having </w:t>
      </w:r>
      <w:r w:rsidR="0095311A">
        <w:t xml:space="preserve">staff members go through the training and obtain user accounts.  </w:t>
      </w:r>
      <w:r w:rsidR="00861429">
        <w:t xml:space="preserve">  </w:t>
      </w:r>
    </w:p>
    <w:p w:rsidR="00861429" w:rsidRDefault="00861429" w:rsidP="006C38AE">
      <w:pPr>
        <w:ind w:left="1440"/>
      </w:pPr>
    </w:p>
    <w:p w:rsidR="00124A3E" w:rsidRDefault="0095311A" w:rsidP="006C38AE">
      <w:pPr>
        <w:ind w:left="1440"/>
      </w:pPr>
      <w:r>
        <w:t xml:space="preserve">As </w:t>
      </w:r>
      <w:r w:rsidR="00124A3E">
        <w:t>shown in the chart below</w:t>
      </w:r>
      <w:r w:rsidR="00872994">
        <w:t xml:space="preserve">, </w:t>
      </w:r>
      <w:r>
        <w:t xml:space="preserve">a number of agencies </w:t>
      </w:r>
      <w:r w:rsidR="00124A3E">
        <w:t>have done more than obtain user accounts; they have performed an extensive amount of work.</w:t>
      </w:r>
      <w:r w:rsidR="00861429">
        <w:t xml:space="preserve">  Only five of the 30 CIO Council agencies have done no work in ERA.</w:t>
      </w:r>
    </w:p>
    <w:p w:rsidR="00124A3E" w:rsidRDefault="00124A3E" w:rsidP="006C38AE">
      <w:pPr>
        <w:ind w:left="1440"/>
      </w:pPr>
    </w:p>
    <w:tbl>
      <w:tblPr>
        <w:tblW w:w="10640" w:type="dxa"/>
        <w:tblInd w:w="99" w:type="dxa"/>
        <w:tblLook w:val="04A0"/>
      </w:tblPr>
      <w:tblGrid>
        <w:gridCol w:w="4840"/>
        <w:gridCol w:w="1900"/>
        <w:gridCol w:w="1940"/>
        <w:gridCol w:w="1960"/>
      </w:tblGrid>
      <w:tr w:rsidR="00BF263E" w:rsidRPr="00BF263E" w:rsidTr="00BF263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ERA Users?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Scheduled Records?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Transferred Records?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Department of Health and Human Services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State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Justice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Environmental Protection Agency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Small Business Administration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Transportation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the Army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Commerce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Nuclear Regulatory Commission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Treasury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Interior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Housing and Urban Development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Executive Office of the President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Energy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Labor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Veterans Affairs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U.S. Agency for International Development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National Science Foundation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Defense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Office of Personnel Management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Homeland Security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General Services Administration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Office of the Director of National Intelligence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the Air Force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9C0006"/>
                <w:sz w:val="22"/>
                <w:szCs w:val="22"/>
              </w:rPr>
              <w:t>No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Agriculture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F263E" w:rsidRPr="00BF263E" w:rsidTr="00BF263E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National Archives and Records Administration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the Navy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National Aeronautics and Space Administration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Department of Education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</w:tr>
      <w:tr w:rsidR="00BF263E" w:rsidRPr="00BF263E" w:rsidTr="00BF263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0000"/>
                <w:sz w:val="22"/>
                <w:szCs w:val="22"/>
              </w:rPr>
              <w:t>Social Security Administration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006100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006100"/>
                <w:sz w:val="22"/>
                <w:szCs w:val="22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1F5D4"/>
            <w:noWrap/>
            <w:vAlign w:val="bottom"/>
            <w:hideMark/>
          </w:tcPr>
          <w:p w:rsidR="00BF263E" w:rsidRPr="00BF263E" w:rsidRDefault="00BF263E" w:rsidP="00BF263E">
            <w:pPr>
              <w:rPr>
                <w:rFonts w:ascii="Calibri" w:hAnsi="Calibri" w:cs="Calibri"/>
                <w:color w:val="4F6228"/>
                <w:sz w:val="22"/>
                <w:szCs w:val="22"/>
              </w:rPr>
            </w:pPr>
            <w:r w:rsidRPr="00BF263E">
              <w:rPr>
                <w:rFonts w:ascii="Calibri" w:hAnsi="Calibri" w:cs="Calibri"/>
                <w:color w:val="4F6228"/>
                <w:sz w:val="22"/>
                <w:szCs w:val="22"/>
              </w:rPr>
              <w:t>Yes</w:t>
            </w:r>
          </w:p>
        </w:tc>
      </w:tr>
    </w:tbl>
    <w:p w:rsidR="006C38AE" w:rsidRDefault="006C38AE" w:rsidP="006C38AE">
      <w:pPr>
        <w:ind w:left="1440"/>
      </w:pPr>
    </w:p>
    <w:p w:rsidR="006B118D" w:rsidRDefault="006B118D" w:rsidP="006C38AE">
      <w:pPr>
        <w:ind w:left="1440"/>
      </w:pPr>
    </w:p>
    <w:p w:rsidR="006C38AE" w:rsidRDefault="001F198C" w:rsidP="001F198C">
      <w:pPr>
        <w:ind w:left="1440"/>
      </w:pPr>
      <w:r>
        <w:t>ERA Adoption Phase 2</w:t>
      </w:r>
    </w:p>
    <w:p w:rsidR="001F198C" w:rsidRDefault="001F198C" w:rsidP="001F198C">
      <w:pPr>
        <w:ind w:left="1440"/>
      </w:pPr>
    </w:p>
    <w:p w:rsidR="001F198C" w:rsidRDefault="00BF263E" w:rsidP="001F198C">
      <w:pPr>
        <w:ind w:left="1440"/>
      </w:pPr>
      <w:r>
        <w:t>Through September 30,</w:t>
      </w:r>
      <w:r w:rsidR="006F7903">
        <w:t xml:space="preserve"> </w:t>
      </w:r>
      <w:r>
        <w:t xml:space="preserve">all </w:t>
      </w:r>
      <w:r w:rsidR="0072410E">
        <w:t>266</w:t>
      </w:r>
      <w:r w:rsidR="001F198C">
        <w:t xml:space="preserve"> agencies have </w:t>
      </w:r>
      <w:r>
        <w:t xml:space="preserve">been briefed on how to start using ERA, access training, and acquire user accounts.  Out of the 266 agencies, 155, or 58%, have user accounts </w:t>
      </w:r>
      <w:r w:rsidR="001F198C">
        <w:t>started using ERA</w:t>
      </w:r>
      <w:r w:rsidR="00437E36">
        <w:t xml:space="preserve">, </w:t>
      </w:r>
      <w:r>
        <w:t xml:space="preserve">and 84, 0r </w:t>
      </w:r>
      <w:r>
        <w:lastRenderedPageBreak/>
        <w:t xml:space="preserve">32%, </w:t>
      </w:r>
      <w:r w:rsidR="00437E36">
        <w:t>have used the system to draft records schedules and transfer requests.</w:t>
      </w:r>
    </w:p>
    <w:p w:rsidR="00437E36" w:rsidRDefault="00437E36" w:rsidP="001F198C">
      <w:pPr>
        <w:ind w:left="1440"/>
      </w:pPr>
    </w:p>
    <w:p w:rsidR="00437E36" w:rsidRDefault="00437E36" w:rsidP="001F198C">
      <w:pPr>
        <w:ind w:left="1440"/>
      </w:pPr>
      <w:r>
        <w:t>Two factors have helped the user adoption process:</w:t>
      </w:r>
    </w:p>
    <w:p w:rsidR="00437E36" w:rsidRDefault="00437E36" w:rsidP="001F198C">
      <w:pPr>
        <w:ind w:left="1440"/>
      </w:pPr>
    </w:p>
    <w:p w:rsidR="00437E36" w:rsidRDefault="00437E36" w:rsidP="001F198C">
      <w:pPr>
        <w:ind w:left="1440"/>
      </w:pPr>
      <w:r>
        <w:t>1) We require</w:t>
      </w:r>
      <w:r w:rsidR="00BF263E">
        <w:t xml:space="preserve"> all </w:t>
      </w:r>
      <w:r>
        <w:t xml:space="preserve">to use ERA for the annual move of textual records from federal records centers to NARA’s archival units.  </w:t>
      </w:r>
    </w:p>
    <w:p w:rsidR="00437E36" w:rsidRDefault="00437E36" w:rsidP="001F198C">
      <w:pPr>
        <w:ind w:left="1440"/>
      </w:pPr>
    </w:p>
    <w:p w:rsidR="00437E36" w:rsidRDefault="00437E36" w:rsidP="001F198C">
      <w:pPr>
        <w:ind w:left="1440"/>
      </w:pPr>
      <w:r>
        <w:t>2) We added additional training.  Starting in January 2012, we conduct one-day “boot camps”</w:t>
      </w:r>
      <w:r w:rsidR="00BF263E">
        <w:t xml:space="preserve"> in the Washington, DC, area, and in regional areas</w:t>
      </w:r>
      <w:r w:rsidR="00CA322F">
        <w:t>.  B</w:t>
      </w:r>
      <w:r>
        <w:t>oot camps give active agency users the opportunity for more detailed instruction and the ability to actually use the sy</w:t>
      </w:r>
      <w:r w:rsidR="00E9189D">
        <w:t>stem with the assistance of NARA experts.</w:t>
      </w:r>
      <w:r w:rsidR="00BF263E">
        <w:t xml:space="preserve">  Boot camps are scheduled through February 2013.</w:t>
      </w:r>
    </w:p>
    <w:p w:rsidR="006F7903" w:rsidRDefault="006F7903" w:rsidP="001F198C">
      <w:pPr>
        <w:ind w:left="1440"/>
      </w:pPr>
    </w:p>
    <w:p w:rsidR="00437E36" w:rsidRDefault="00437E36" w:rsidP="001F198C">
      <w:pPr>
        <w:ind w:left="1440"/>
      </w:pPr>
    </w:p>
    <w:p w:rsidR="00DB21E5" w:rsidRDefault="00EA735B" w:rsidP="00DB21E5">
      <w:pPr>
        <w:ind w:left="1440"/>
      </w:pPr>
      <w:r w:rsidRPr="00EA735B">
        <w:rPr>
          <w:noProof/>
        </w:rPr>
        <w:drawing>
          <wp:inline distT="0" distB="0" distL="0" distR="0">
            <wp:extent cx="5486400" cy="3866271"/>
            <wp:effectExtent l="19050" t="0" r="19050" b="879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21E5" w:rsidRDefault="00DB21E5" w:rsidP="00DB21E5">
      <w:pPr>
        <w:ind w:left="1440"/>
      </w:pPr>
    </w:p>
    <w:p w:rsidR="00DB21E5" w:rsidRDefault="00DB21E5" w:rsidP="00DB21E5">
      <w:pPr>
        <w:pStyle w:val="IntenseQuote"/>
      </w:pPr>
      <w:r>
        <w:t>ERA Policy Changes</w:t>
      </w:r>
    </w:p>
    <w:p w:rsidR="007F4B20" w:rsidRDefault="00DB21E5" w:rsidP="007F4B20">
      <w:pPr>
        <w:ind w:left="1440"/>
      </w:pPr>
      <w:r>
        <w:t>NARA issued NARA Bulletin 2012-003</w:t>
      </w:r>
      <w:r w:rsidR="007F4B20">
        <w:t xml:space="preserve"> on August 21, 2012.  The Bulletin </w:t>
      </w:r>
      <w:r w:rsidR="007F4B20" w:rsidRPr="007F4B20">
        <w:t xml:space="preserve">informs Federal agencies that, beginning October 1, 2012, NARA will use the Electronic Records Archives (ERA) for scheduling records and transferring permanent records to the National Archives. </w:t>
      </w:r>
    </w:p>
    <w:p w:rsidR="007F4B20" w:rsidRDefault="007F4B20" w:rsidP="007F4B20">
      <w:pPr>
        <w:ind w:left="1440"/>
      </w:pPr>
    </w:p>
    <w:p w:rsidR="007F4B20" w:rsidRPr="007F4B20" w:rsidRDefault="007F4B20" w:rsidP="007F4B20">
      <w:pPr>
        <w:ind w:left="1440"/>
      </w:pPr>
      <w:r w:rsidRPr="007F4B20">
        <w:lastRenderedPageBreak/>
        <w:t xml:space="preserve">If the following </w:t>
      </w:r>
      <w:r w:rsidR="002311E9">
        <w:t xml:space="preserve">limited </w:t>
      </w:r>
      <w:r w:rsidRPr="007F4B20">
        <w:t xml:space="preserve">conditions exist, NARA may accept a paper SF-258 or SF-115 in lieu of using ERA.  </w:t>
      </w:r>
    </w:p>
    <w:p w:rsidR="007F4B20" w:rsidRPr="007F4B20" w:rsidRDefault="007F4B20" w:rsidP="007F4B20">
      <w:pPr>
        <w:ind w:left="1440"/>
      </w:pPr>
    </w:p>
    <w:p w:rsidR="002311E9" w:rsidRDefault="002311E9" w:rsidP="007F4B20">
      <w:pPr>
        <w:pStyle w:val="ListParagraph"/>
        <w:numPr>
          <w:ilvl w:val="0"/>
          <w:numId w:val="11"/>
        </w:numPr>
      </w:pPr>
      <w:r>
        <w:t xml:space="preserve">A permanent General Records Schedule item serves as the disposition authority for records proposed for transfer to the permanent holdings of the National Archives.  ERA cannot accommodate the GRS.  </w:t>
      </w:r>
    </w:p>
    <w:p w:rsidR="007F4B20" w:rsidRDefault="007F4B20" w:rsidP="007F4B20">
      <w:pPr>
        <w:ind w:left="1440"/>
      </w:pPr>
    </w:p>
    <w:p w:rsidR="002311E9" w:rsidRPr="002311E9" w:rsidRDefault="002311E9" w:rsidP="007F4B20">
      <w:pPr>
        <w:pStyle w:val="ListParagraph"/>
        <w:numPr>
          <w:ilvl w:val="0"/>
          <w:numId w:val="9"/>
        </w:numPr>
      </w:pPr>
      <w:r>
        <w:t>An agency wishes to create a transfer request or a records schedule in ERA that must contain classified information.  Such forms can only be created in an unclassified environment.</w:t>
      </w:r>
    </w:p>
    <w:p w:rsidR="002311E9" w:rsidRPr="002311E9" w:rsidRDefault="002311E9" w:rsidP="002311E9">
      <w:pPr>
        <w:pStyle w:val="ListParagraph"/>
        <w:ind w:left="2160"/>
      </w:pPr>
    </w:p>
    <w:p w:rsidR="007F4B20" w:rsidRPr="002311E9" w:rsidRDefault="002311E9" w:rsidP="007F4B20">
      <w:pPr>
        <w:pStyle w:val="ListParagraph"/>
        <w:numPr>
          <w:ilvl w:val="0"/>
          <w:numId w:val="9"/>
        </w:numPr>
      </w:pPr>
      <w:r>
        <w:t xml:space="preserve">An agency submits a paper SF-258 or a paper SF-115 that was originally started by NARA prior to October 1, 2012.  An agency would need to re-enter the information into ERA. </w:t>
      </w:r>
    </w:p>
    <w:p w:rsidR="002311E9" w:rsidRPr="002311E9" w:rsidRDefault="002311E9" w:rsidP="002311E9">
      <w:pPr>
        <w:pStyle w:val="ListParagraph"/>
      </w:pPr>
    </w:p>
    <w:p w:rsidR="00DB21E5" w:rsidRPr="00DB21E5" w:rsidRDefault="00BC3D3E" w:rsidP="002311E9">
      <w:pPr>
        <w:pStyle w:val="ListParagraph"/>
        <w:numPr>
          <w:ilvl w:val="0"/>
          <w:numId w:val="9"/>
        </w:numPr>
      </w:pPr>
      <w:r>
        <w:t xml:space="preserve">A technical issue such as an </w:t>
      </w:r>
      <w:r w:rsidR="002311E9">
        <w:t>agency’s network firewall prohibits connection with ERA</w:t>
      </w:r>
      <w:r>
        <w:t>, or an agency uses an internet browser that does not render ERA.</w:t>
      </w:r>
      <w:r w:rsidR="002311E9">
        <w:t xml:space="preserve"> </w:t>
      </w:r>
      <w:r>
        <w:t xml:space="preserve"> NARA expects to be able to resolve any such technical issues with agencies.</w:t>
      </w:r>
    </w:p>
    <w:p w:rsidR="006F7903" w:rsidRDefault="006F7903" w:rsidP="006F7903">
      <w:pPr>
        <w:pStyle w:val="IntenseQuote"/>
      </w:pPr>
      <w:r>
        <w:t xml:space="preserve"> Feedback from the Users</w:t>
      </w:r>
    </w:p>
    <w:p w:rsidR="00EC7769" w:rsidRDefault="006E70B0" w:rsidP="00A53305">
      <w:pPr>
        <w:ind w:left="1440"/>
      </w:pPr>
      <w:r w:rsidRPr="00C92BB9">
        <w:t>ERA User Experience Survey for NARA Users</w:t>
      </w:r>
      <w:r w:rsidR="00ED52CA" w:rsidRPr="00C92BB9">
        <w:t xml:space="preserve"> </w:t>
      </w:r>
    </w:p>
    <w:p w:rsidR="00EC7769" w:rsidRDefault="00EC7769" w:rsidP="00A53305">
      <w:pPr>
        <w:ind w:left="1440"/>
      </w:pPr>
    </w:p>
    <w:p w:rsidR="00A53305" w:rsidRPr="00C92BB9" w:rsidRDefault="00ED52CA" w:rsidP="00A53305">
      <w:pPr>
        <w:ind w:left="1440"/>
      </w:pPr>
      <w:r w:rsidRPr="00C92BB9">
        <w:t>From May 25</w:t>
      </w:r>
      <w:r w:rsidR="00EC7769">
        <w:t xml:space="preserve"> until June 6</w:t>
      </w:r>
      <w:r w:rsidRPr="00C92BB9">
        <w:t xml:space="preserve">, 2012, NARA surveyed all active NARA users of ERA.  The online survey solicited feedback in </w:t>
      </w:r>
      <w:r w:rsidR="00A53305" w:rsidRPr="00C92BB9">
        <w:t xml:space="preserve">a number of different ERA areas.  Users were asked to rank their levels of satisfaction in </w:t>
      </w:r>
      <w:r w:rsidR="00EC7769">
        <w:t xml:space="preserve">eleven functional and user support areas </w:t>
      </w:r>
      <w:r w:rsidR="00A53305" w:rsidRPr="00C92BB9">
        <w:t xml:space="preserve">from “very satisfied” to “very unsatisfied.”  Respondents were given the opportunity to elaborate on why they gave an element a certain rating.  NARA </w:t>
      </w:r>
      <w:r w:rsidR="00EC7769">
        <w:t xml:space="preserve">also </w:t>
      </w:r>
      <w:r w:rsidR="00A53305" w:rsidRPr="00C92BB9">
        <w:t xml:space="preserve">asked for </w:t>
      </w:r>
      <w:r w:rsidR="00EC7769">
        <w:t xml:space="preserve">comments </w:t>
      </w:r>
      <w:r w:rsidR="00A53305" w:rsidRPr="00C92BB9">
        <w:t xml:space="preserve">on </w:t>
      </w:r>
      <w:r w:rsidR="00EC7769">
        <w:t xml:space="preserve">the negative and </w:t>
      </w:r>
      <w:r w:rsidR="00A53305" w:rsidRPr="00C92BB9">
        <w:t xml:space="preserve">positive aspects of system and suggestions for improvement.  Finally, they were asked to give </w:t>
      </w:r>
      <w:r w:rsidR="00EC7769">
        <w:t xml:space="preserve">an </w:t>
      </w:r>
      <w:r w:rsidR="00A53305" w:rsidRPr="00C92BB9">
        <w:t>overall level of satisfaction with the system.</w:t>
      </w:r>
    </w:p>
    <w:p w:rsidR="00D83A2E" w:rsidRPr="00C92BB9" w:rsidRDefault="00D83A2E" w:rsidP="00157AB3">
      <w:pPr>
        <w:ind w:left="1440"/>
      </w:pPr>
    </w:p>
    <w:p w:rsidR="00E67F08" w:rsidRDefault="00EC7769" w:rsidP="00A53305">
      <w:pPr>
        <w:ind w:left="1440"/>
      </w:pPr>
      <w:r>
        <w:t xml:space="preserve">The chart below </w:t>
      </w:r>
      <w:r w:rsidR="00E67F08">
        <w:t xml:space="preserve">shows feedback from NARA staff according to function and support element.  The blue line segment depicts the percentage of respondents who were very satisfied or satisfied with the category; red shows neutral feedback; and green indicates unsatisfied or very unsatisfied experiences.  </w:t>
      </w:r>
      <w:r w:rsidR="00A53305" w:rsidRPr="00C92BB9">
        <w:t xml:space="preserve">  </w:t>
      </w:r>
    </w:p>
    <w:p w:rsidR="00E67F08" w:rsidRDefault="00E67F08" w:rsidP="00A53305">
      <w:pPr>
        <w:ind w:left="1440"/>
      </w:pPr>
    </w:p>
    <w:p w:rsidR="00A53305" w:rsidRDefault="008D0C24" w:rsidP="00685A76">
      <w:pPr>
        <w:ind w:left="1440"/>
        <w:rPr>
          <w:rFonts w:ascii="Georgia" w:hAnsi="Georgia" w:cs="Arial"/>
        </w:rPr>
      </w:pPr>
      <w:r w:rsidRPr="008D0C24">
        <w:rPr>
          <w:rFonts w:ascii="Georgia" w:hAnsi="Georgia" w:cs="Arial"/>
          <w:noProof/>
        </w:rPr>
        <w:lastRenderedPageBreak/>
        <w:drawing>
          <wp:inline distT="0" distB="0" distL="0" distR="0">
            <wp:extent cx="5486400" cy="2898531"/>
            <wp:effectExtent l="0" t="0" r="0" b="0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53305" w:rsidRDefault="00A53305" w:rsidP="00685A76">
      <w:pPr>
        <w:ind w:left="1440"/>
        <w:rPr>
          <w:rFonts w:ascii="Georgia" w:hAnsi="Georgia" w:cs="Arial"/>
        </w:rPr>
      </w:pPr>
    </w:p>
    <w:p w:rsidR="00E67F08" w:rsidRPr="00C92BB9" w:rsidRDefault="00E67F08" w:rsidP="00E67F08">
      <w:pPr>
        <w:ind w:left="1440"/>
      </w:pPr>
      <w:r w:rsidRPr="00C92BB9">
        <w:t xml:space="preserve">The positive review of the help desk </w:t>
      </w:r>
      <w:r>
        <w:t xml:space="preserve">support </w:t>
      </w:r>
      <w:r w:rsidRPr="00C92BB9">
        <w:t xml:space="preserve">and </w:t>
      </w:r>
      <w:r>
        <w:t xml:space="preserve">the user </w:t>
      </w:r>
      <w:r w:rsidRPr="00C92BB9">
        <w:t xml:space="preserve">account process stand in stark contrast to the other ratings related to performance of the system.  Only 20% of staff members are satisfied </w:t>
      </w:r>
      <w:r>
        <w:t xml:space="preserve">overall </w:t>
      </w:r>
      <w:r w:rsidRPr="00C92BB9">
        <w:t>with ERA.</w:t>
      </w:r>
    </w:p>
    <w:p w:rsidR="00E67F08" w:rsidRPr="00A53305" w:rsidRDefault="00E67F08" w:rsidP="00E67F08">
      <w:pPr>
        <w:ind w:left="1440"/>
        <w:rPr>
          <w:rFonts w:ascii="Georgia" w:hAnsi="Georgia" w:cs="Arial"/>
        </w:rPr>
      </w:pPr>
      <w:r w:rsidRPr="00A53305">
        <w:rPr>
          <w:rFonts w:ascii="Georgia" w:hAnsi="Georgia" w:cs="Arial"/>
        </w:rPr>
        <w:t> </w:t>
      </w:r>
    </w:p>
    <w:p w:rsidR="00E67F08" w:rsidRDefault="00685A76" w:rsidP="00FB3E7A">
      <w:pPr>
        <w:ind w:left="1440"/>
      </w:pPr>
      <w:r w:rsidRPr="00C92BB9">
        <w:t>ERA User Experience Survey</w:t>
      </w:r>
      <w:r w:rsidR="00E67F08">
        <w:t xml:space="preserve"> for Federal Agency Users</w:t>
      </w:r>
    </w:p>
    <w:p w:rsidR="00E67F08" w:rsidRDefault="00E67F08" w:rsidP="00FB3E7A">
      <w:pPr>
        <w:ind w:left="1440"/>
      </w:pPr>
    </w:p>
    <w:p w:rsidR="00FB3E7A" w:rsidRPr="00C92BB9" w:rsidRDefault="00FB3E7A" w:rsidP="00FB3E7A">
      <w:pPr>
        <w:ind w:left="1440"/>
      </w:pPr>
      <w:r w:rsidRPr="00C92BB9">
        <w:t xml:space="preserve">From September 17 until October 5, 2012, NARA surveyed all of the active Federal agency users of ERA.  Over 500 users of ERA were invited to complete the survey.  A total of 92 took the survey and answered at least some of the questions.  </w:t>
      </w:r>
    </w:p>
    <w:p w:rsidR="00FB3E7A" w:rsidRPr="00C92BB9" w:rsidRDefault="00FB3E7A" w:rsidP="00045280">
      <w:pPr>
        <w:ind w:left="1440"/>
      </w:pPr>
    </w:p>
    <w:p w:rsidR="00045280" w:rsidRPr="00C92BB9" w:rsidRDefault="00424CE2" w:rsidP="00045280">
      <w:pPr>
        <w:ind w:left="1440"/>
      </w:pPr>
      <w:r>
        <w:t>As with the chart above, u</w:t>
      </w:r>
      <w:r w:rsidR="003606EC" w:rsidRPr="00C92BB9">
        <w:t xml:space="preserve">sers were asked to rank </w:t>
      </w:r>
      <w:r w:rsidR="001935EC" w:rsidRPr="00C92BB9">
        <w:t xml:space="preserve">their </w:t>
      </w:r>
      <w:r w:rsidR="003606EC" w:rsidRPr="00C92BB9">
        <w:t xml:space="preserve">levels </w:t>
      </w:r>
      <w:r w:rsidR="001935EC" w:rsidRPr="00C92BB9">
        <w:t xml:space="preserve">of satisfaction in the above in a range </w:t>
      </w:r>
      <w:r w:rsidR="003606EC" w:rsidRPr="00C92BB9">
        <w:t xml:space="preserve">from </w:t>
      </w:r>
      <w:r w:rsidR="001935EC" w:rsidRPr="00C92BB9">
        <w:t>“</w:t>
      </w:r>
      <w:r w:rsidR="003606EC" w:rsidRPr="00C92BB9">
        <w:t>very satisfied</w:t>
      </w:r>
      <w:r w:rsidR="001935EC" w:rsidRPr="00C92BB9">
        <w:t>”</w:t>
      </w:r>
      <w:r w:rsidR="003606EC" w:rsidRPr="00C92BB9">
        <w:t xml:space="preserve"> to </w:t>
      </w:r>
      <w:r w:rsidR="001935EC" w:rsidRPr="00C92BB9">
        <w:t>“</w:t>
      </w:r>
      <w:r w:rsidR="003606EC" w:rsidRPr="00C92BB9">
        <w:t>very unsatisfied.</w:t>
      </w:r>
      <w:r w:rsidR="001935EC" w:rsidRPr="00C92BB9">
        <w:t>”</w:t>
      </w:r>
      <w:r w:rsidR="003606EC" w:rsidRPr="00C92BB9">
        <w:t xml:space="preserve">  </w:t>
      </w:r>
      <w:r w:rsidR="00D83A2E" w:rsidRPr="00C92BB9">
        <w:t xml:space="preserve">Respondents were given the opportunity to elaborate on why they gave </w:t>
      </w:r>
      <w:r w:rsidR="00103CF3" w:rsidRPr="00C92BB9">
        <w:t xml:space="preserve">an element a certain rating.  </w:t>
      </w:r>
      <w:r w:rsidR="001935EC" w:rsidRPr="00C92BB9">
        <w:t>NARA</w:t>
      </w:r>
      <w:r w:rsidR="003606EC" w:rsidRPr="00C92BB9">
        <w:t xml:space="preserve"> asked for feedback regarding </w:t>
      </w:r>
      <w:r w:rsidR="004735EE" w:rsidRPr="00C92BB9">
        <w:t xml:space="preserve">their </w:t>
      </w:r>
      <w:r w:rsidR="001935EC" w:rsidRPr="00C92BB9">
        <w:t>thought</w:t>
      </w:r>
      <w:r w:rsidR="004735EE" w:rsidRPr="00C92BB9">
        <w:t xml:space="preserve">s on </w:t>
      </w:r>
      <w:r w:rsidR="003606EC" w:rsidRPr="00C92BB9">
        <w:t xml:space="preserve">positive aspects </w:t>
      </w:r>
      <w:r w:rsidR="004735EE" w:rsidRPr="00C92BB9">
        <w:t xml:space="preserve">of system </w:t>
      </w:r>
      <w:r w:rsidR="003606EC" w:rsidRPr="00C92BB9">
        <w:t xml:space="preserve">and </w:t>
      </w:r>
      <w:r w:rsidR="004735EE" w:rsidRPr="00C92BB9">
        <w:t xml:space="preserve">their </w:t>
      </w:r>
      <w:r w:rsidR="003606EC" w:rsidRPr="00C92BB9">
        <w:t>suggestions for improvement.  Finally, they were asked to give their overall level of satisfaction with the system.</w:t>
      </w:r>
    </w:p>
    <w:p w:rsidR="00267FA1" w:rsidRDefault="00267FA1" w:rsidP="00045280">
      <w:pPr>
        <w:ind w:left="1440"/>
        <w:rPr>
          <w:rFonts w:ascii="Georgia" w:hAnsi="Georgia" w:cs="Arial"/>
        </w:rPr>
      </w:pPr>
    </w:p>
    <w:p w:rsidR="003606EC" w:rsidRDefault="00C92BB9" w:rsidP="00045280">
      <w:pPr>
        <w:ind w:left="1440"/>
        <w:rPr>
          <w:rFonts w:ascii="Georgia" w:hAnsi="Georgia" w:cs="Arial"/>
        </w:rPr>
      </w:pPr>
      <w:r w:rsidRPr="00C92BB9">
        <w:rPr>
          <w:rFonts w:ascii="Georgia" w:hAnsi="Georgia" w:cs="Arial"/>
          <w:noProof/>
        </w:rPr>
        <w:lastRenderedPageBreak/>
        <w:drawing>
          <wp:inline distT="0" distB="0" distL="0" distR="0">
            <wp:extent cx="5486400" cy="2906737"/>
            <wp:effectExtent l="0" t="0" r="0" b="0"/>
            <wp:docPr id="1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06EC" w:rsidRDefault="003606EC" w:rsidP="00045280">
      <w:pPr>
        <w:ind w:left="1440"/>
        <w:rPr>
          <w:rFonts w:ascii="Georgia" w:hAnsi="Georgia" w:cs="Arial"/>
        </w:rPr>
      </w:pPr>
    </w:p>
    <w:p w:rsidR="00424CE2" w:rsidRPr="00424CE2" w:rsidRDefault="00424CE2" w:rsidP="00424CE2">
      <w:pPr>
        <w:ind w:left="1440"/>
      </w:pPr>
      <w:r>
        <w:rPr>
          <w:bCs/>
        </w:rPr>
        <w:t xml:space="preserve">A total of 58% of the Federal agency survey respondents were satisfied </w:t>
      </w:r>
      <w:r w:rsidR="00A34FFE">
        <w:rPr>
          <w:bCs/>
        </w:rPr>
        <w:t>or</w:t>
      </w:r>
      <w:r>
        <w:rPr>
          <w:bCs/>
        </w:rPr>
        <w:t xml:space="preserve"> very satisfied with ERA, slightly exceeding the 56% satisfaction score from the April 2012 survey.  The score significantly exceeds the 44% of satisfied or very satisfied ERA users reported in September 2011.  </w:t>
      </w:r>
    </w:p>
    <w:p w:rsidR="00424CE2" w:rsidRPr="00424CE2" w:rsidRDefault="00424CE2" w:rsidP="00424CE2">
      <w:pPr>
        <w:ind w:left="1440"/>
      </w:pPr>
    </w:p>
    <w:p w:rsidR="00424CE2" w:rsidRPr="00424CE2" w:rsidRDefault="00F63F6D" w:rsidP="00424CE2">
      <w:pPr>
        <w:ind w:left="1440"/>
      </w:pPr>
      <w:r>
        <w:t xml:space="preserve">Other </w:t>
      </w:r>
      <w:r w:rsidR="00424CE2" w:rsidRPr="00424CE2">
        <w:t>positive</w:t>
      </w:r>
      <w:r>
        <w:t xml:space="preserve"> results </w:t>
      </w:r>
      <w:r w:rsidR="00424CE2" w:rsidRPr="00424CE2">
        <w:t>include a 15% increase in the satisfaction with the transferring functionality</w:t>
      </w:r>
      <w:r w:rsidR="00A34FFE">
        <w:t xml:space="preserve"> over the April 2012 survey, and</w:t>
      </w:r>
      <w:r w:rsidR="00424CE2" w:rsidRPr="00424CE2">
        <w:t xml:space="preserve"> continued very good reviews of the help desk (79%) and the training materials (77%).    </w:t>
      </w:r>
    </w:p>
    <w:p w:rsidR="00424CE2" w:rsidRPr="00424CE2" w:rsidRDefault="00424CE2" w:rsidP="00424CE2">
      <w:pPr>
        <w:ind w:left="1440"/>
      </w:pPr>
    </w:p>
    <w:p w:rsidR="00424CE2" w:rsidRPr="00424CE2" w:rsidRDefault="00F63F6D" w:rsidP="00424CE2">
      <w:pPr>
        <w:ind w:left="1440"/>
      </w:pPr>
      <w:r>
        <w:t>However, users continue to have negative or neutral experiences when using the system, although the scores improved over the mid-year survey.  This condition, in relation to the mostly positive feedback received on ERA support, pro</w:t>
      </w:r>
      <w:r w:rsidR="00424CE2" w:rsidRPr="00424CE2">
        <w:t xml:space="preserve">bably </w:t>
      </w:r>
      <w:r>
        <w:t xml:space="preserve">contributed to a relatively low </w:t>
      </w:r>
      <w:r w:rsidR="00424CE2" w:rsidRPr="00424CE2">
        <w:t>overall satisfaction score</w:t>
      </w:r>
      <w:r>
        <w:t>.</w:t>
      </w:r>
      <w:r w:rsidR="00424CE2" w:rsidRPr="00424CE2">
        <w:t xml:space="preserve">  </w:t>
      </w:r>
    </w:p>
    <w:p w:rsidR="006F7903" w:rsidRDefault="006F7903" w:rsidP="001F198C">
      <w:pPr>
        <w:ind w:left="1440"/>
      </w:pPr>
    </w:p>
    <w:p w:rsidR="004E4010" w:rsidRDefault="004E4010" w:rsidP="004579F2">
      <w:pPr>
        <w:ind w:firstLine="720"/>
      </w:pPr>
    </w:p>
    <w:p w:rsidR="006B118D" w:rsidRDefault="006B118D" w:rsidP="004579F2">
      <w:pPr>
        <w:ind w:firstLine="720"/>
      </w:pPr>
    </w:p>
    <w:p w:rsidR="006B118D" w:rsidRDefault="006B118D" w:rsidP="006B118D"/>
    <w:sectPr w:rsidR="006B118D" w:rsidSect="005002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716"/>
    <w:multiLevelType w:val="hybridMultilevel"/>
    <w:tmpl w:val="E7924968"/>
    <w:lvl w:ilvl="0" w:tplc="AFC8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23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09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C3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01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8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C5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C1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87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CD01E0"/>
    <w:multiLevelType w:val="hybridMultilevel"/>
    <w:tmpl w:val="3CF4CC64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78F7"/>
    <w:multiLevelType w:val="hybridMultilevel"/>
    <w:tmpl w:val="FE2EBBE8"/>
    <w:lvl w:ilvl="0" w:tplc="25FA75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C65DE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409D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E24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0B0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8EEB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A60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0AC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AE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4207A"/>
    <w:multiLevelType w:val="hybridMultilevel"/>
    <w:tmpl w:val="0094AAD8"/>
    <w:lvl w:ilvl="0" w:tplc="53566F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280357"/>
    <w:multiLevelType w:val="hybridMultilevel"/>
    <w:tmpl w:val="7B4690A2"/>
    <w:lvl w:ilvl="0" w:tplc="040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5">
    <w:nsid w:val="32005DF3"/>
    <w:multiLevelType w:val="hybridMultilevel"/>
    <w:tmpl w:val="DD36F9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5F6E25"/>
    <w:multiLevelType w:val="hybridMultilevel"/>
    <w:tmpl w:val="B8620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38174EF"/>
    <w:multiLevelType w:val="hybridMultilevel"/>
    <w:tmpl w:val="C35E74C0"/>
    <w:lvl w:ilvl="0" w:tplc="7840CC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1786D"/>
    <w:multiLevelType w:val="hybridMultilevel"/>
    <w:tmpl w:val="8E666C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B7903A9"/>
    <w:multiLevelType w:val="hybridMultilevel"/>
    <w:tmpl w:val="7EE6D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CA314E"/>
    <w:multiLevelType w:val="hybridMultilevel"/>
    <w:tmpl w:val="687CB6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proofState w:grammar="clean"/>
  <w:stylePaneFormatFilter w:val="3F01"/>
  <w:defaultTabStop w:val="720"/>
  <w:noPunctuationKerning/>
  <w:characterSpacingControl w:val="doNotCompress"/>
  <w:compat/>
  <w:rsids>
    <w:rsidRoot w:val="004E4010"/>
    <w:rsid w:val="00007CE8"/>
    <w:rsid w:val="000117F0"/>
    <w:rsid w:val="00021224"/>
    <w:rsid w:val="000228CC"/>
    <w:rsid w:val="00023663"/>
    <w:rsid w:val="00044B6C"/>
    <w:rsid w:val="00045280"/>
    <w:rsid w:val="0005590B"/>
    <w:rsid w:val="000677A9"/>
    <w:rsid w:val="00067F15"/>
    <w:rsid w:val="00071108"/>
    <w:rsid w:val="00081124"/>
    <w:rsid w:val="00085D89"/>
    <w:rsid w:val="00093355"/>
    <w:rsid w:val="00097E9C"/>
    <w:rsid w:val="000A31B3"/>
    <w:rsid w:val="000A692D"/>
    <w:rsid w:val="000A6BDD"/>
    <w:rsid w:val="000B0510"/>
    <w:rsid w:val="000B0AB5"/>
    <w:rsid w:val="000B3ABF"/>
    <w:rsid w:val="000B4618"/>
    <w:rsid w:val="000C3888"/>
    <w:rsid w:val="000C4E4F"/>
    <w:rsid w:val="000D2F8C"/>
    <w:rsid w:val="000D6343"/>
    <w:rsid w:val="000D7CCB"/>
    <w:rsid w:val="000E36C5"/>
    <w:rsid w:val="000E381D"/>
    <w:rsid w:val="000F5D15"/>
    <w:rsid w:val="00103579"/>
    <w:rsid w:val="00103CF3"/>
    <w:rsid w:val="00110417"/>
    <w:rsid w:val="00110A29"/>
    <w:rsid w:val="00124A3E"/>
    <w:rsid w:val="00126FE7"/>
    <w:rsid w:val="00141C48"/>
    <w:rsid w:val="00153A0E"/>
    <w:rsid w:val="00154B59"/>
    <w:rsid w:val="00157AB3"/>
    <w:rsid w:val="001663BB"/>
    <w:rsid w:val="00166734"/>
    <w:rsid w:val="00172CFB"/>
    <w:rsid w:val="0017494C"/>
    <w:rsid w:val="00176FB3"/>
    <w:rsid w:val="0018668E"/>
    <w:rsid w:val="001935EC"/>
    <w:rsid w:val="00195FBC"/>
    <w:rsid w:val="00196EB8"/>
    <w:rsid w:val="001971E2"/>
    <w:rsid w:val="001A1178"/>
    <w:rsid w:val="001B21FA"/>
    <w:rsid w:val="001B482C"/>
    <w:rsid w:val="001C0272"/>
    <w:rsid w:val="001C3A4E"/>
    <w:rsid w:val="001C5C1B"/>
    <w:rsid w:val="001C75A0"/>
    <w:rsid w:val="001D08CD"/>
    <w:rsid w:val="001E0BEC"/>
    <w:rsid w:val="001E710D"/>
    <w:rsid w:val="001F198C"/>
    <w:rsid w:val="002002C0"/>
    <w:rsid w:val="0020767B"/>
    <w:rsid w:val="002125E6"/>
    <w:rsid w:val="00212B14"/>
    <w:rsid w:val="00217E4D"/>
    <w:rsid w:val="00220FFD"/>
    <w:rsid w:val="002224F6"/>
    <w:rsid w:val="00226E6A"/>
    <w:rsid w:val="002277DD"/>
    <w:rsid w:val="002311E9"/>
    <w:rsid w:val="002417D9"/>
    <w:rsid w:val="00254ECB"/>
    <w:rsid w:val="002607E1"/>
    <w:rsid w:val="00265ECE"/>
    <w:rsid w:val="00267EF9"/>
    <w:rsid w:val="00267FA1"/>
    <w:rsid w:val="00272592"/>
    <w:rsid w:val="002738BE"/>
    <w:rsid w:val="00291BE4"/>
    <w:rsid w:val="002A6057"/>
    <w:rsid w:val="002C0D67"/>
    <w:rsid w:val="002D635B"/>
    <w:rsid w:val="002D718B"/>
    <w:rsid w:val="002E3223"/>
    <w:rsid w:val="002F327E"/>
    <w:rsid w:val="002F41D1"/>
    <w:rsid w:val="002F702E"/>
    <w:rsid w:val="00303F9E"/>
    <w:rsid w:val="00306997"/>
    <w:rsid w:val="00326F56"/>
    <w:rsid w:val="00335DCA"/>
    <w:rsid w:val="00350AFB"/>
    <w:rsid w:val="00357CEB"/>
    <w:rsid w:val="003606EC"/>
    <w:rsid w:val="00360A39"/>
    <w:rsid w:val="00364FFD"/>
    <w:rsid w:val="00372294"/>
    <w:rsid w:val="003726BB"/>
    <w:rsid w:val="00380E56"/>
    <w:rsid w:val="003845A9"/>
    <w:rsid w:val="003861A9"/>
    <w:rsid w:val="00390086"/>
    <w:rsid w:val="00397FD9"/>
    <w:rsid w:val="003A0C66"/>
    <w:rsid w:val="003A35B9"/>
    <w:rsid w:val="003A49C5"/>
    <w:rsid w:val="003A4AAE"/>
    <w:rsid w:val="003A5248"/>
    <w:rsid w:val="003A6F37"/>
    <w:rsid w:val="003D2D84"/>
    <w:rsid w:val="003D5567"/>
    <w:rsid w:val="003E7942"/>
    <w:rsid w:val="003E7FF2"/>
    <w:rsid w:val="00404366"/>
    <w:rsid w:val="00407D95"/>
    <w:rsid w:val="0041240B"/>
    <w:rsid w:val="0041557C"/>
    <w:rsid w:val="004163DB"/>
    <w:rsid w:val="00424C46"/>
    <w:rsid w:val="00424CE2"/>
    <w:rsid w:val="00432674"/>
    <w:rsid w:val="00437E36"/>
    <w:rsid w:val="0044573B"/>
    <w:rsid w:val="00452DBB"/>
    <w:rsid w:val="00457776"/>
    <w:rsid w:val="004579F2"/>
    <w:rsid w:val="00463ED7"/>
    <w:rsid w:val="00466E67"/>
    <w:rsid w:val="00467F7A"/>
    <w:rsid w:val="004735EE"/>
    <w:rsid w:val="00480865"/>
    <w:rsid w:val="00487ED0"/>
    <w:rsid w:val="0049252C"/>
    <w:rsid w:val="004967C9"/>
    <w:rsid w:val="004A15E5"/>
    <w:rsid w:val="004B14C4"/>
    <w:rsid w:val="004B2A68"/>
    <w:rsid w:val="004B618C"/>
    <w:rsid w:val="004D510E"/>
    <w:rsid w:val="004D6E05"/>
    <w:rsid w:val="004D7442"/>
    <w:rsid w:val="004E0934"/>
    <w:rsid w:val="004E4010"/>
    <w:rsid w:val="004E7467"/>
    <w:rsid w:val="004F2DEA"/>
    <w:rsid w:val="004F5CC6"/>
    <w:rsid w:val="00500283"/>
    <w:rsid w:val="0050706E"/>
    <w:rsid w:val="00511531"/>
    <w:rsid w:val="00514E20"/>
    <w:rsid w:val="00525228"/>
    <w:rsid w:val="0053693A"/>
    <w:rsid w:val="00541DF6"/>
    <w:rsid w:val="005731AC"/>
    <w:rsid w:val="005734A2"/>
    <w:rsid w:val="0057699D"/>
    <w:rsid w:val="00584339"/>
    <w:rsid w:val="0058628A"/>
    <w:rsid w:val="00587C70"/>
    <w:rsid w:val="00590E57"/>
    <w:rsid w:val="00593445"/>
    <w:rsid w:val="0059616E"/>
    <w:rsid w:val="005C12D6"/>
    <w:rsid w:val="005C379E"/>
    <w:rsid w:val="005C604C"/>
    <w:rsid w:val="005D6E41"/>
    <w:rsid w:val="005D7643"/>
    <w:rsid w:val="005E0391"/>
    <w:rsid w:val="005E60F1"/>
    <w:rsid w:val="005F6F7B"/>
    <w:rsid w:val="00600D37"/>
    <w:rsid w:val="006067CD"/>
    <w:rsid w:val="00613CA2"/>
    <w:rsid w:val="0061788C"/>
    <w:rsid w:val="00637066"/>
    <w:rsid w:val="00640E38"/>
    <w:rsid w:val="00641864"/>
    <w:rsid w:val="006454A2"/>
    <w:rsid w:val="00671601"/>
    <w:rsid w:val="00681B44"/>
    <w:rsid w:val="00685A76"/>
    <w:rsid w:val="00686686"/>
    <w:rsid w:val="006944A2"/>
    <w:rsid w:val="006B118D"/>
    <w:rsid w:val="006B42D2"/>
    <w:rsid w:val="006C211A"/>
    <w:rsid w:val="006C38AE"/>
    <w:rsid w:val="006E70B0"/>
    <w:rsid w:val="006E74BC"/>
    <w:rsid w:val="006F2104"/>
    <w:rsid w:val="006F34F9"/>
    <w:rsid w:val="006F7903"/>
    <w:rsid w:val="00701E2C"/>
    <w:rsid w:val="00702CA2"/>
    <w:rsid w:val="00705DCE"/>
    <w:rsid w:val="007235AF"/>
    <w:rsid w:val="0072410E"/>
    <w:rsid w:val="007272B3"/>
    <w:rsid w:val="007332C4"/>
    <w:rsid w:val="00733912"/>
    <w:rsid w:val="0073782F"/>
    <w:rsid w:val="0075092F"/>
    <w:rsid w:val="007510EF"/>
    <w:rsid w:val="007526A2"/>
    <w:rsid w:val="00753634"/>
    <w:rsid w:val="00756184"/>
    <w:rsid w:val="00762435"/>
    <w:rsid w:val="007626C3"/>
    <w:rsid w:val="00771032"/>
    <w:rsid w:val="00780D69"/>
    <w:rsid w:val="007872FD"/>
    <w:rsid w:val="00790F39"/>
    <w:rsid w:val="007922DB"/>
    <w:rsid w:val="00794393"/>
    <w:rsid w:val="007A7FA9"/>
    <w:rsid w:val="007C24D6"/>
    <w:rsid w:val="007C2C26"/>
    <w:rsid w:val="007C4340"/>
    <w:rsid w:val="007E30CD"/>
    <w:rsid w:val="007F4B20"/>
    <w:rsid w:val="007F5E59"/>
    <w:rsid w:val="00800248"/>
    <w:rsid w:val="00802B32"/>
    <w:rsid w:val="008076DE"/>
    <w:rsid w:val="00810911"/>
    <w:rsid w:val="0081270B"/>
    <w:rsid w:val="00821A15"/>
    <w:rsid w:val="00821D7A"/>
    <w:rsid w:val="00835E31"/>
    <w:rsid w:val="00861429"/>
    <w:rsid w:val="00867236"/>
    <w:rsid w:val="008704BB"/>
    <w:rsid w:val="00872994"/>
    <w:rsid w:val="00873FF4"/>
    <w:rsid w:val="0088221B"/>
    <w:rsid w:val="00887AE5"/>
    <w:rsid w:val="00893C6D"/>
    <w:rsid w:val="008957D4"/>
    <w:rsid w:val="008A1914"/>
    <w:rsid w:val="008A4763"/>
    <w:rsid w:val="008A692B"/>
    <w:rsid w:val="008B1AEF"/>
    <w:rsid w:val="008B74A8"/>
    <w:rsid w:val="008C2869"/>
    <w:rsid w:val="008C5FA9"/>
    <w:rsid w:val="008D0C24"/>
    <w:rsid w:val="008F0EF7"/>
    <w:rsid w:val="008F59A6"/>
    <w:rsid w:val="00904425"/>
    <w:rsid w:val="0091202F"/>
    <w:rsid w:val="009139A7"/>
    <w:rsid w:val="00913A7B"/>
    <w:rsid w:val="00923C79"/>
    <w:rsid w:val="0093409B"/>
    <w:rsid w:val="00935B17"/>
    <w:rsid w:val="00936831"/>
    <w:rsid w:val="00936F35"/>
    <w:rsid w:val="0094032A"/>
    <w:rsid w:val="0094223B"/>
    <w:rsid w:val="0095311A"/>
    <w:rsid w:val="00966ABD"/>
    <w:rsid w:val="009708AB"/>
    <w:rsid w:val="00975215"/>
    <w:rsid w:val="00976A6B"/>
    <w:rsid w:val="00976BE4"/>
    <w:rsid w:val="00977848"/>
    <w:rsid w:val="00977F20"/>
    <w:rsid w:val="009835F5"/>
    <w:rsid w:val="00983CC2"/>
    <w:rsid w:val="00983D8E"/>
    <w:rsid w:val="00984299"/>
    <w:rsid w:val="00985E88"/>
    <w:rsid w:val="00991C5A"/>
    <w:rsid w:val="009A4739"/>
    <w:rsid w:val="009A5A21"/>
    <w:rsid w:val="009B070E"/>
    <w:rsid w:val="009B098D"/>
    <w:rsid w:val="009B30DE"/>
    <w:rsid w:val="009C79B9"/>
    <w:rsid w:val="009D6E9C"/>
    <w:rsid w:val="009F395D"/>
    <w:rsid w:val="009F50F0"/>
    <w:rsid w:val="00A0590C"/>
    <w:rsid w:val="00A21107"/>
    <w:rsid w:val="00A31F98"/>
    <w:rsid w:val="00A31FE4"/>
    <w:rsid w:val="00A340E0"/>
    <w:rsid w:val="00A34FFE"/>
    <w:rsid w:val="00A37A6B"/>
    <w:rsid w:val="00A40B5D"/>
    <w:rsid w:val="00A4481E"/>
    <w:rsid w:val="00A53305"/>
    <w:rsid w:val="00A55BA9"/>
    <w:rsid w:val="00A57454"/>
    <w:rsid w:val="00A60B14"/>
    <w:rsid w:val="00A62277"/>
    <w:rsid w:val="00A64E14"/>
    <w:rsid w:val="00A67F80"/>
    <w:rsid w:val="00A86B9B"/>
    <w:rsid w:val="00AA4A13"/>
    <w:rsid w:val="00AA53FE"/>
    <w:rsid w:val="00AB0749"/>
    <w:rsid w:val="00AB1AE4"/>
    <w:rsid w:val="00AC04F3"/>
    <w:rsid w:val="00AE4EFE"/>
    <w:rsid w:val="00AF2087"/>
    <w:rsid w:val="00B11430"/>
    <w:rsid w:val="00B162A5"/>
    <w:rsid w:val="00B25935"/>
    <w:rsid w:val="00B25B5B"/>
    <w:rsid w:val="00B263CC"/>
    <w:rsid w:val="00B2674B"/>
    <w:rsid w:val="00B31983"/>
    <w:rsid w:val="00B34227"/>
    <w:rsid w:val="00B34400"/>
    <w:rsid w:val="00B438FA"/>
    <w:rsid w:val="00B50AB3"/>
    <w:rsid w:val="00B536CE"/>
    <w:rsid w:val="00B56574"/>
    <w:rsid w:val="00B574BB"/>
    <w:rsid w:val="00B5780C"/>
    <w:rsid w:val="00B7131C"/>
    <w:rsid w:val="00B7282B"/>
    <w:rsid w:val="00B75263"/>
    <w:rsid w:val="00B77C2B"/>
    <w:rsid w:val="00B80428"/>
    <w:rsid w:val="00B80E8B"/>
    <w:rsid w:val="00B8563B"/>
    <w:rsid w:val="00B9541A"/>
    <w:rsid w:val="00BA6EBA"/>
    <w:rsid w:val="00BB20E6"/>
    <w:rsid w:val="00BB288B"/>
    <w:rsid w:val="00BB7BE7"/>
    <w:rsid w:val="00BC3D3E"/>
    <w:rsid w:val="00BC54F2"/>
    <w:rsid w:val="00BC79D7"/>
    <w:rsid w:val="00BF263E"/>
    <w:rsid w:val="00C04A84"/>
    <w:rsid w:val="00C1024B"/>
    <w:rsid w:val="00C13D3F"/>
    <w:rsid w:val="00C22D04"/>
    <w:rsid w:val="00C4581E"/>
    <w:rsid w:val="00C4614F"/>
    <w:rsid w:val="00C519B8"/>
    <w:rsid w:val="00C6641E"/>
    <w:rsid w:val="00C66FCF"/>
    <w:rsid w:val="00C70BE2"/>
    <w:rsid w:val="00C8334C"/>
    <w:rsid w:val="00C84C4A"/>
    <w:rsid w:val="00C92BB9"/>
    <w:rsid w:val="00C97344"/>
    <w:rsid w:val="00CA0057"/>
    <w:rsid w:val="00CA322F"/>
    <w:rsid w:val="00CA4FD5"/>
    <w:rsid w:val="00CB3044"/>
    <w:rsid w:val="00CB57C0"/>
    <w:rsid w:val="00CB663A"/>
    <w:rsid w:val="00CC7551"/>
    <w:rsid w:val="00CD5CEF"/>
    <w:rsid w:val="00CD60A7"/>
    <w:rsid w:val="00CE5827"/>
    <w:rsid w:val="00CF0199"/>
    <w:rsid w:val="00CF0600"/>
    <w:rsid w:val="00CF31A1"/>
    <w:rsid w:val="00D02EFC"/>
    <w:rsid w:val="00D1013B"/>
    <w:rsid w:val="00D1180D"/>
    <w:rsid w:val="00D139A2"/>
    <w:rsid w:val="00D14926"/>
    <w:rsid w:val="00D164A3"/>
    <w:rsid w:val="00D21293"/>
    <w:rsid w:val="00D23191"/>
    <w:rsid w:val="00D40F33"/>
    <w:rsid w:val="00D4687C"/>
    <w:rsid w:val="00D63974"/>
    <w:rsid w:val="00D667C5"/>
    <w:rsid w:val="00D7085D"/>
    <w:rsid w:val="00D719F3"/>
    <w:rsid w:val="00D764EB"/>
    <w:rsid w:val="00D83A2E"/>
    <w:rsid w:val="00DA2278"/>
    <w:rsid w:val="00DA6DDA"/>
    <w:rsid w:val="00DA7BC4"/>
    <w:rsid w:val="00DB21E5"/>
    <w:rsid w:val="00DB6DF2"/>
    <w:rsid w:val="00DD3214"/>
    <w:rsid w:val="00DD3702"/>
    <w:rsid w:val="00DD4775"/>
    <w:rsid w:val="00DD489D"/>
    <w:rsid w:val="00DD4AEF"/>
    <w:rsid w:val="00DD6E36"/>
    <w:rsid w:val="00DD7297"/>
    <w:rsid w:val="00E05E0F"/>
    <w:rsid w:val="00E06BAF"/>
    <w:rsid w:val="00E11A0B"/>
    <w:rsid w:val="00E1499B"/>
    <w:rsid w:val="00E1750A"/>
    <w:rsid w:val="00E20DFA"/>
    <w:rsid w:val="00E21966"/>
    <w:rsid w:val="00E25E20"/>
    <w:rsid w:val="00E41486"/>
    <w:rsid w:val="00E5015C"/>
    <w:rsid w:val="00E5421F"/>
    <w:rsid w:val="00E5689C"/>
    <w:rsid w:val="00E63E65"/>
    <w:rsid w:val="00E66D74"/>
    <w:rsid w:val="00E67F08"/>
    <w:rsid w:val="00E71043"/>
    <w:rsid w:val="00E716CB"/>
    <w:rsid w:val="00E838B9"/>
    <w:rsid w:val="00E87B88"/>
    <w:rsid w:val="00E9189D"/>
    <w:rsid w:val="00E944BA"/>
    <w:rsid w:val="00E94892"/>
    <w:rsid w:val="00EA735B"/>
    <w:rsid w:val="00EB4A8C"/>
    <w:rsid w:val="00EB6BD1"/>
    <w:rsid w:val="00EC1B24"/>
    <w:rsid w:val="00EC585E"/>
    <w:rsid w:val="00EC7769"/>
    <w:rsid w:val="00ED33F6"/>
    <w:rsid w:val="00ED3BA3"/>
    <w:rsid w:val="00ED52CA"/>
    <w:rsid w:val="00ED7B0B"/>
    <w:rsid w:val="00F00582"/>
    <w:rsid w:val="00F02B84"/>
    <w:rsid w:val="00F05D02"/>
    <w:rsid w:val="00F0765E"/>
    <w:rsid w:val="00F107F4"/>
    <w:rsid w:val="00F1464B"/>
    <w:rsid w:val="00F15EAD"/>
    <w:rsid w:val="00F160B1"/>
    <w:rsid w:val="00F162B0"/>
    <w:rsid w:val="00F2143C"/>
    <w:rsid w:val="00F2184D"/>
    <w:rsid w:val="00F23E2A"/>
    <w:rsid w:val="00F27647"/>
    <w:rsid w:val="00F304B3"/>
    <w:rsid w:val="00F35DED"/>
    <w:rsid w:val="00F367AA"/>
    <w:rsid w:val="00F45263"/>
    <w:rsid w:val="00F54CDF"/>
    <w:rsid w:val="00F557D4"/>
    <w:rsid w:val="00F60609"/>
    <w:rsid w:val="00F63F6D"/>
    <w:rsid w:val="00F74E31"/>
    <w:rsid w:val="00F81F3A"/>
    <w:rsid w:val="00F82C40"/>
    <w:rsid w:val="00F85E46"/>
    <w:rsid w:val="00F9233C"/>
    <w:rsid w:val="00F93899"/>
    <w:rsid w:val="00F95FD2"/>
    <w:rsid w:val="00F9741B"/>
    <w:rsid w:val="00FB0F34"/>
    <w:rsid w:val="00FB3E7A"/>
    <w:rsid w:val="00FC4F04"/>
    <w:rsid w:val="00FC689D"/>
    <w:rsid w:val="00FD2D21"/>
    <w:rsid w:val="00FD47A0"/>
    <w:rsid w:val="00FE0A82"/>
    <w:rsid w:val="00FE558D"/>
    <w:rsid w:val="00FF09E7"/>
    <w:rsid w:val="00FF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B44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A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A3E"/>
    <w:rPr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4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E558D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E558D"/>
    <w:rPr>
      <w:i/>
      <w:iCs/>
    </w:rPr>
  </w:style>
  <w:style w:type="table" w:customStyle="1" w:styleId="LightShading-Accent11">
    <w:name w:val="Light Shading - Accent 11"/>
    <w:basedOn w:val="TableNormal"/>
    <w:uiPriority w:val="60"/>
    <w:rsid w:val="00FE558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10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7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8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644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07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0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7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CARLSON\Desktop\Chart%20work%20are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2U1DATA3\A2U1DATA3\SHARED\NARA\NW\User%20Adoption%20Steering%20Group\Survey-Forum\ERA%20User%20Experience%20Survey%20for%20NARA%20employees%20June%202012\ERA%202012%20QuestionPro-Survey%20graphs%20-%20NARA%20Staff%20-%20June%202012%20Survey%20-%20Chart%20Source%20v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CARLSON\Desktop\ERA%20survey%20results%2010-11-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Federal Agencies Using ERA</a:t>
            </a:r>
          </a:p>
          <a:p>
            <a:pPr>
              <a:defRPr/>
            </a:pPr>
            <a:r>
              <a:rPr lang="en-US" sz="1400" baseline="0"/>
              <a:t>Total Agencies = 266</a:t>
            </a:r>
          </a:p>
          <a:p>
            <a:pPr>
              <a:defRPr/>
            </a:pPr>
            <a:r>
              <a:rPr lang="en-US" sz="1200" baseline="0"/>
              <a:t>As of October 15, 2012</a:t>
            </a:r>
          </a:p>
        </c:rich>
      </c:tx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FF99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Trained</a:t>
                    </a:r>
                    <a:r>
                      <a:rPr lang="en-US"/>
                      <a:t>
41%</a:t>
                    </a:r>
                  </a:p>
                </c:rich>
              </c:tx>
              <c:showCatName val="1"/>
              <c:showPercent val="1"/>
            </c:dLbl>
            <c:spPr>
              <a:noFill/>
              <a:ln>
                <a:prstDash val="solid"/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showCatName val="1"/>
            <c:showPercent val="1"/>
            <c:showLeaderLines val="1"/>
          </c:dLbls>
          <c:cat>
            <c:strRef>
              <c:f>Sheet1!$A$3:$A$6</c:f>
              <c:strCache>
                <c:ptCount val="4"/>
                <c:pt idx="0">
                  <c:v>Untrained</c:v>
                </c:pt>
                <c:pt idx="1">
                  <c:v>Trained</c:v>
                </c:pt>
                <c:pt idx="2">
                  <c:v>Trained w/Active Users</c:v>
                </c:pt>
                <c:pt idx="3">
                  <c:v>Done Work</c:v>
                </c:pt>
              </c:strCache>
            </c:strRef>
          </c:cat>
          <c:val>
            <c:numRef>
              <c:f>Sheet1!$B$3:$B$6</c:f>
              <c:numCache>
                <c:formatCode>0%</c:formatCode>
                <c:ptCount val="4"/>
                <c:pt idx="0">
                  <c:v>0</c:v>
                </c:pt>
                <c:pt idx="1">
                  <c:v>0.41729323308270677</c:v>
                </c:pt>
                <c:pt idx="2">
                  <c:v>0.26691729323308283</c:v>
                </c:pt>
                <c:pt idx="3">
                  <c:v>0.31578947368421073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2"/>
  <c:chart>
    <c:plotArea>
      <c:layout>
        <c:manualLayout>
          <c:layoutTarget val="inner"/>
          <c:xMode val="edge"/>
          <c:yMode val="edge"/>
          <c:x val="0.29323284819106649"/>
          <c:y val="4.3912175648702596E-2"/>
          <c:w val="0.4761556796212113"/>
          <c:h val="0.82642368805695632"/>
        </c:manualLayout>
      </c:layout>
      <c:barChart>
        <c:barDir val="bar"/>
        <c:grouping val="percentStacked"/>
        <c:ser>
          <c:idx val="0"/>
          <c:order val="0"/>
          <c:tx>
            <c:strRef>
              <c:f>'Survey Report'!$U$48</c:f>
              <c:strCache>
                <c:ptCount val="1"/>
                <c:pt idx="0">
                  <c:v>Very Satisfied/Satisfied</c:v>
                </c:pt>
              </c:strCache>
            </c:strRef>
          </c:tx>
          <c:cat>
            <c:strRef>
              <c:f>'Survey Report'!$T$49:$T$61</c:f>
              <c:strCache>
                <c:ptCount val="13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as Proxy Function</c:v>
                </c:pt>
                <c:pt idx="4">
                  <c:v>Transferring Function</c:v>
                </c:pt>
                <c:pt idx="5">
                  <c:v>Initial Processing</c:v>
                </c:pt>
                <c:pt idx="6">
                  <c:v>Scheduling Function</c:v>
                </c:pt>
                <c:pt idx="7">
                  <c:v>Legacy Schedule Functions</c:v>
                </c:pt>
                <c:pt idx="8">
                  <c:v>Web Site</c:v>
                </c:pt>
                <c:pt idx="9">
                  <c:v>E-Learning Modules</c:v>
                </c:pt>
                <c:pt idx="10">
                  <c:v>Other Training Materials</c:v>
                </c:pt>
                <c:pt idx="11">
                  <c:v>User Account Process</c:v>
                </c:pt>
                <c:pt idx="12">
                  <c:v>Help Desk Support</c:v>
                </c:pt>
              </c:strCache>
            </c:strRef>
          </c:cat>
          <c:val>
            <c:numRef>
              <c:f>'Survey Report'!$U$49:$U$61</c:f>
              <c:numCache>
                <c:formatCode>General</c:formatCode>
                <c:ptCount val="13"/>
                <c:pt idx="0" formatCode="0%">
                  <c:v>0.1951</c:v>
                </c:pt>
                <c:pt idx="2" formatCode="0%">
                  <c:v>0</c:v>
                </c:pt>
                <c:pt idx="3" formatCode="0%">
                  <c:v>8.3300000000000041E-2</c:v>
                </c:pt>
                <c:pt idx="4" formatCode="0%">
                  <c:v>8.0000000000000029E-2</c:v>
                </c:pt>
                <c:pt idx="5" formatCode="0%">
                  <c:v>8.3300000000000041E-2</c:v>
                </c:pt>
                <c:pt idx="6" formatCode="0%">
                  <c:v>0.2778000000000001</c:v>
                </c:pt>
                <c:pt idx="7" formatCode="0%">
                  <c:v>0.33330000000000021</c:v>
                </c:pt>
                <c:pt idx="8" formatCode="0%">
                  <c:v>0.37840000000000013</c:v>
                </c:pt>
                <c:pt idx="9" formatCode="0%">
                  <c:v>0.38710000000000011</c:v>
                </c:pt>
                <c:pt idx="10" formatCode="0%">
                  <c:v>0.51429999999999998</c:v>
                </c:pt>
                <c:pt idx="11" formatCode="0%">
                  <c:v>0.63630000000000031</c:v>
                </c:pt>
                <c:pt idx="12" formatCode="0%">
                  <c:v>0.8571000000000002</c:v>
                </c:pt>
              </c:numCache>
            </c:numRef>
          </c:val>
        </c:ser>
        <c:ser>
          <c:idx val="1"/>
          <c:order val="1"/>
          <c:tx>
            <c:strRef>
              <c:f>'Survey Report'!$V$48</c:f>
              <c:strCache>
                <c:ptCount val="1"/>
                <c:pt idx="0">
                  <c:v>Neutral</c:v>
                </c:pt>
              </c:strCache>
            </c:strRef>
          </c:tx>
          <c:cat>
            <c:strRef>
              <c:f>'Survey Report'!$T$49:$T$61</c:f>
              <c:strCache>
                <c:ptCount val="13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as Proxy Function</c:v>
                </c:pt>
                <c:pt idx="4">
                  <c:v>Transferring Function</c:v>
                </c:pt>
                <c:pt idx="5">
                  <c:v>Initial Processing</c:v>
                </c:pt>
                <c:pt idx="6">
                  <c:v>Scheduling Function</c:v>
                </c:pt>
                <c:pt idx="7">
                  <c:v>Legacy Schedule Functions</c:v>
                </c:pt>
                <c:pt idx="8">
                  <c:v>Web Site</c:v>
                </c:pt>
                <c:pt idx="9">
                  <c:v>E-Learning Modules</c:v>
                </c:pt>
                <c:pt idx="10">
                  <c:v>Other Training Materials</c:v>
                </c:pt>
                <c:pt idx="11">
                  <c:v>User Account Process</c:v>
                </c:pt>
                <c:pt idx="12">
                  <c:v>Help Desk Support</c:v>
                </c:pt>
              </c:strCache>
            </c:strRef>
          </c:cat>
          <c:val>
            <c:numRef>
              <c:f>'Survey Report'!$V$49:$V$61</c:f>
              <c:numCache>
                <c:formatCode>General</c:formatCode>
                <c:ptCount val="13"/>
                <c:pt idx="0" formatCode="0%">
                  <c:v>0.26829999999999998</c:v>
                </c:pt>
                <c:pt idx="2" formatCode="0%">
                  <c:v>0.22220000000000001</c:v>
                </c:pt>
                <c:pt idx="3" formatCode="0%">
                  <c:v>0.16669999999999999</c:v>
                </c:pt>
                <c:pt idx="4" formatCode="0%">
                  <c:v>0.24000000000000005</c:v>
                </c:pt>
                <c:pt idx="5" formatCode="0%">
                  <c:v>0.25</c:v>
                </c:pt>
                <c:pt idx="6" formatCode="0%">
                  <c:v>0.22220000000000001</c:v>
                </c:pt>
                <c:pt idx="7" formatCode="0%">
                  <c:v>0.33330000000000021</c:v>
                </c:pt>
                <c:pt idx="8" formatCode="0%">
                  <c:v>0.43240000000000012</c:v>
                </c:pt>
                <c:pt idx="9" formatCode="0%">
                  <c:v>0.32260000000000011</c:v>
                </c:pt>
                <c:pt idx="10" formatCode="0%">
                  <c:v>0.31430000000000013</c:v>
                </c:pt>
                <c:pt idx="11" formatCode="0%">
                  <c:v>0.2273</c:v>
                </c:pt>
                <c:pt idx="12" formatCode="0%">
                  <c:v>0.14290000000000005</c:v>
                </c:pt>
              </c:numCache>
            </c:numRef>
          </c:val>
        </c:ser>
        <c:ser>
          <c:idx val="2"/>
          <c:order val="2"/>
          <c:tx>
            <c:strRef>
              <c:f>'Survey Report'!$W$48</c:f>
              <c:strCache>
                <c:ptCount val="1"/>
                <c:pt idx="0">
                  <c:v>Unsatisfied/Very Unsatisfied</c:v>
                </c:pt>
              </c:strCache>
            </c:strRef>
          </c:tx>
          <c:cat>
            <c:strRef>
              <c:f>'Survey Report'!$T$49:$T$61</c:f>
              <c:strCache>
                <c:ptCount val="13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as Proxy Function</c:v>
                </c:pt>
                <c:pt idx="4">
                  <c:v>Transferring Function</c:v>
                </c:pt>
                <c:pt idx="5">
                  <c:v>Initial Processing</c:v>
                </c:pt>
                <c:pt idx="6">
                  <c:v>Scheduling Function</c:v>
                </c:pt>
                <c:pt idx="7">
                  <c:v>Legacy Schedule Functions</c:v>
                </c:pt>
                <c:pt idx="8">
                  <c:v>Web Site</c:v>
                </c:pt>
                <c:pt idx="9">
                  <c:v>E-Learning Modules</c:v>
                </c:pt>
                <c:pt idx="10">
                  <c:v>Other Training Materials</c:v>
                </c:pt>
                <c:pt idx="11">
                  <c:v>User Account Process</c:v>
                </c:pt>
                <c:pt idx="12">
                  <c:v>Help Desk Support</c:v>
                </c:pt>
              </c:strCache>
            </c:strRef>
          </c:cat>
          <c:val>
            <c:numRef>
              <c:f>'Survey Report'!$W$49:$W$61</c:f>
              <c:numCache>
                <c:formatCode>General</c:formatCode>
                <c:ptCount val="13"/>
                <c:pt idx="0" formatCode="0%">
                  <c:v>0.53659999999999997</c:v>
                </c:pt>
                <c:pt idx="2" formatCode="0%">
                  <c:v>0.77780000000000016</c:v>
                </c:pt>
                <c:pt idx="3" formatCode="0%">
                  <c:v>0.75000000000000022</c:v>
                </c:pt>
                <c:pt idx="4" formatCode="0%">
                  <c:v>0.68</c:v>
                </c:pt>
                <c:pt idx="5" formatCode="0%">
                  <c:v>0.6666000000000003</c:v>
                </c:pt>
                <c:pt idx="6" formatCode="0%">
                  <c:v>0.5</c:v>
                </c:pt>
                <c:pt idx="7" formatCode="0%">
                  <c:v>0.33330000000000026</c:v>
                </c:pt>
                <c:pt idx="8" formatCode="0%">
                  <c:v>0.18920000000000006</c:v>
                </c:pt>
                <c:pt idx="9" formatCode="0%">
                  <c:v>0.29030000000000011</c:v>
                </c:pt>
                <c:pt idx="10" formatCode="0%">
                  <c:v>0.17140000000000005</c:v>
                </c:pt>
                <c:pt idx="11" formatCode="0%">
                  <c:v>0.13639999999999999</c:v>
                </c:pt>
                <c:pt idx="12" formatCode="0%">
                  <c:v>0</c:v>
                </c:pt>
              </c:numCache>
            </c:numRef>
          </c:val>
        </c:ser>
        <c:overlap val="100"/>
        <c:axId val="86573440"/>
        <c:axId val="86574976"/>
      </c:barChart>
      <c:catAx>
        <c:axId val="86573440"/>
        <c:scaling>
          <c:orientation val="minMax"/>
        </c:scaling>
        <c:axPos val="l"/>
        <c:tickLblPos val="nextTo"/>
        <c:crossAx val="86574976"/>
        <c:crosses val="autoZero"/>
        <c:auto val="1"/>
        <c:lblAlgn val="ctr"/>
        <c:lblOffset val="100"/>
      </c:catAx>
      <c:valAx>
        <c:axId val="86574976"/>
        <c:scaling>
          <c:orientation val="minMax"/>
        </c:scaling>
        <c:axPos val="b"/>
        <c:majorGridlines/>
        <c:numFmt formatCode="0%" sourceLinked="1"/>
        <c:tickLblPos val="nextTo"/>
        <c:crossAx val="86573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0439240653877"/>
          <c:y val="0.30788658902667182"/>
          <c:w val="0.20370492738943621"/>
          <c:h val="0.43213069923145875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42"/>
  <c:chart>
    <c:plotArea>
      <c:layout>
        <c:manualLayout>
          <c:layoutTarget val="inner"/>
          <c:xMode val="edge"/>
          <c:yMode val="edge"/>
          <c:x val="0.29077282006415878"/>
          <c:y val="5.0925925925925923E-2"/>
          <c:w val="0.48575422863808693"/>
          <c:h val="0.79869969378827743"/>
        </c:manualLayout>
      </c:layout>
      <c:barChart>
        <c:barDir val="bar"/>
        <c:grouping val="percentStacked"/>
        <c:ser>
          <c:idx val="0"/>
          <c:order val="0"/>
          <c:tx>
            <c:strRef>
              <c:f>'QuestionPro - Survey Report'!$R$45</c:f>
              <c:strCache>
                <c:ptCount val="1"/>
                <c:pt idx="0">
                  <c:v>Very Satisfied/Satisfied</c:v>
                </c:pt>
              </c:strCache>
            </c:strRef>
          </c:tx>
          <c:cat>
            <c:strRef>
              <c:f>'QuestionPro - Survey Report'!$Q$46:$Q$57</c:f>
              <c:strCache>
                <c:ptCount val="12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Function</c:v>
                </c:pt>
                <c:pt idx="4">
                  <c:v>Scheduling Function</c:v>
                </c:pt>
                <c:pt idx="5">
                  <c:v>User Account Process</c:v>
                </c:pt>
                <c:pt idx="6">
                  <c:v>E-Learning Modules</c:v>
                </c:pt>
                <c:pt idx="7">
                  <c:v>Web Site</c:v>
                </c:pt>
                <c:pt idx="8">
                  <c:v>NARA Staff Support</c:v>
                </c:pt>
                <c:pt idx="9">
                  <c:v>Account Manager Process</c:v>
                </c:pt>
                <c:pt idx="10">
                  <c:v>Other Training Materials</c:v>
                </c:pt>
                <c:pt idx="11">
                  <c:v>Help Desk Support</c:v>
                </c:pt>
              </c:strCache>
            </c:strRef>
          </c:cat>
          <c:val>
            <c:numRef>
              <c:f>'QuestionPro - Survey Report'!$R$46:$R$57</c:f>
              <c:numCache>
                <c:formatCode>General</c:formatCode>
                <c:ptCount val="12"/>
                <c:pt idx="0" formatCode="0%">
                  <c:v>0.58329999999999982</c:v>
                </c:pt>
                <c:pt idx="2" formatCode="0%">
                  <c:v>0.5454</c:v>
                </c:pt>
                <c:pt idx="3" formatCode="0%">
                  <c:v>0.57890000000000019</c:v>
                </c:pt>
                <c:pt idx="4" formatCode="0%">
                  <c:v>0.58979999999999999</c:v>
                </c:pt>
                <c:pt idx="5" formatCode="0%">
                  <c:v>0.6616000000000003</c:v>
                </c:pt>
                <c:pt idx="6" formatCode="0%">
                  <c:v>0.67790000000000028</c:v>
                </c:pt>
                <c:pt idx="7" formatCode="0%">
                  <c:v>0.71180000000000021</c:v>
                </c:pt>
                <c:pt idx="8" formatCode="0%">
                  <c:v>0.73470000000000013</c:v>
                </c:pt>
                <c:pt idx="9" formatCode="0%">
                  <c:v>0.74470000000000025</c:v>
                </c:pt>
                <c:pt idx="10" formatCode="0%">
                  <c:v>0.76780000000000026</c:v>
                </c:pt>
                <c:pt idx="11" formatCode="0%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'QuestionPro - Survey Report'!$S$45</c:f>
              <c:strCache>
                <c:ptCount val="1"/>
                <c:pt idx="0">
                  <c:v>Neutral</c:v>
                </c:pt>
              </c:strCache>
            </c:strRef>
          </c:tx>
          <c:cat>
            <c:strRef>
              <c:f>'QuestionPro - Survey Report'!$Q$46:$Q$57</c:f>
              <c:strCache>
                <c:ptCount val="12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Function</c:v>
                </c:pt>
                <c:pt idx="4">
                  <c:v>Scheduling Function</c:v>
                </c:pt>
                <c:pt idx="5">
                  <c:v>User Account Process</c:v>
                </c:pt>
                <c:pt idx="6">
                  <c:v>E-Learning Modules</c:v>
                </c:pt>
                <c:pt idx="7">
                  <c:v>Web Site</c:v>
                </c:pt>
                <c:pt idx="8">
                  <c:v>NARA Staff Support</c:v>
                </c:pt>
                <c:pt idx="9">
                  <c:v>Account Manager Process</c:v>
                </c:pt>
                <c:pt idx="10">
                  <c:v>Other Training Materials</c:v>
                </c:pt>
                <c:pt idx="11">
                  <c:v>Help Desk Support</c:v>
                </c:pt>
              </c:strCache>
            </c:strRef>
          </c:cat>
          <c:val>
            <c:numRef>
              <c:f>'QuestionPro - Survey Report'!$S$46:$S$57</c:f>
              <c:numCache>
                <c:formatCode>General</c:formatCode>
                <c:ptCount val="12"/>
                <c:pt idx="0" formatCode="0%">
                  <c:v>0.23330000000000001</c:v>
                </c:pt>
                <c:pt idx="2" formatCode="0%">
                  <c:v>0.2727</c:v>
                </c:pt>
                <c:pt idx="3" formatCode="0%">
                  <c:v>0.21050000000000005</c:v>
                </c:pt>
                <c:pt idx="4" formatCode="0%">
                  <c:v>0.28210000000000002</c:v>
                </c:pt>
                <c:pt idx="5" formatCode="0%">
                  <c:v>0.29230000000000012</c:v>
                </c:pt>
                <c:pt idx="6" formatCode="0%">
                  <c:v>0.2203</c:v>
                </c:pt>
                <c:pt idx="7" formatCode="0%">
                  <c:v>0.2712</c:v>
                </c:pt>
                <c:pt idx="8" formatCode="0%">
                  <c:v>0.14290000000000005</c:v>
                </c:pt>
                <c:pt idx="9" formatCode="0%">
                  <c:v>0.17019999999999999</c:v>
                </c:pt>
                <c:pt idx="10" formatCode="0%">
                  <c:v>0.16070000000000001</c:v>
                </c:pt>
                <c:pt idx="11" formatCode="0%">
                  <c:v>0.11</c:v>
                </c:pt>
              </c:numCache>
            </c:numRef>
          </c:val>
        </c:ser>
        <c:ser>
          <c:idx val="2"/>
          <c:order val="2"/>
          <c:tx>
            <c:strRef>
              <c:f>'QuestionPro - Survey Report'!$T$45</c:f>
              <c:strCache>
                <c:ptCount val="1"/>
                <c:pt idx="0">
                  <c:v>Unsatisfied/Very unsatisfied</c:v>
                </c:pt>
              </c:strCache>
            </c:strRef>
          </c:tx>
          <c:cat>
            <c:strRef>
              <c:f>'QuestionPro - Survey Report'!$Q$46:$Q$57</c:f>
              <c:strCache>
                <c:ptCount val="12"/>
                <c:pt idx="0">
                  <c:v>Overall Satisfaction with ERA</c:v>
                </c:pt>
                <c:pt idx="2">
                  <c:v>Use of Packaging Tool</c:v>
                </c:pt>
                <c:pt idx="3">
                  <c:v>Transferring Function</c:v>
                </c:pt>
                <c:pt idx="4">
                  <c:v>Scheduling Function</c:v>
                </c:pt>
                <c:pt idx="5">
                  <c:v>User Account Process</c:v>
                </c:pt>
                <c:pt idx="6">
                  <c:v>E-Learning Modules</c:v>
                </c:pt>
                <c:pt idx="7">
                  <c:v>Web Site</c:v>
                </c:pt>
                <c:pt idx="8">
                  <c:v>NARA Staff Support</c:v>
                </c:pt>
                <c:pt idx="9">
                  <c:v>Account Manager Process</c:v>
                </c:pt>
                <c:pt idx="10">
                  <c:v>Other Training Materials</c:v>
                </c:pt>
                <c:pt idx="11">
                  <c:v>Help Desk Support</c:v>
                </c:pt>
              </c:strCache>
            </c:strRef>
          </c:cat>
          <c:val>
            <c:numRef>
              <c:f>'QuestionPro - Survey Report'!$T$46:$T$57</c:f>
              <c:numCache>
                <c:formatCode>General</c:formatCode>
                <c:ptCount val="12"/>
                <c:pt idx="0" formatCode="0%">
                  <c:v>0.18340000000000006</c:v>
                </c:pt>
                <c:pt idx="2" formatCode="0%">
                  <c:v>0.18180000000000004</c:v>
                </c:pt>
                <c:pt idx="3" formatCode="0%">
                  <c:v>0.21050000000000005</c:v>
                </c:pt>
                <c:pt idx="4" formatCode="0%">
                  <c:v>0.12819999999999998</c:v>
                </c:pt>
                <c:pt idx="5" formatCode="0%">
                  <c:v>4.6200000000000005E-2</c:v>
                </c:pt>
                <c:pt idx="6" formatCode="0%">
                  <c:v>0.10160000000000002</c:v>
                </c:pt>
                <c:pt idx="7" formatCode="0%">
                  <c:v>1.6899999999999998E-2</c:v>
                </c:pt>
                <c:pt idx="8" formatCode="0%">
                  <c:v>0.12239999999999998</c:v>
                </c:pt>
                <c:pt idx="9" formatCode="0%">
                  <c:v>8.5100000000000023E-2</c:v>
                </c:pt>
                <c:pt idx="10" formatCode="0%">
                  <c:v>6.1499999999999999E-2</c:v>
                </c:pt>
                <c:pt idx="11" formatCode="0%">
                  <c:v>9.0000000000000024E-2</c:v>
                </c:pt>
              </c:numCache>
            </c:numRef>
          </c:val>
        </c:ser>
        <c:overlap val="100"/>
        <c:axId val="86625664"/>
        <c:axId val="146420864"/>
      </c:barChart>
      <c:catAx>
        <c:axId val="86625664"/>
        <c:scaling>
          <c:orientation val="minMax"/>
        </c:scaling>
        <c:axPos val="l"/>
        <c:tickLblPos val="nextTo"/>
        <c:crossAx val="146420864"/>
        <c:crosses val="autoZero"/>
        <c:auto val="1"/>
        <c:lblAlgn val="ctr"/>
        <c:lblOffset val="100"/>
      </c:catAx>
      <c:valAx>
        <c:axId val="146420864"/>
        <c:scaling>
          <c:orientation val="minMax"/>
        </c:scaling>
        <c:axPos val="b"/>
        <c:majorGridlines/>
        <c:numFmt formatCode="0%" sourceLinked="1"/>
        <c:tickLblPos val="nextTo"/>
        <c:crossAx val="86625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47816418780958"/>
          <c:y val="0.19927946697620053"/>
          <c:w val="0.19832658938466025"/>
          <c:h val="0.58370365120752243"/>
        </c:manualLayout>
      </c:layout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0.02283</cdr:x>
      <cdr:y>0.54428</cdr:y>
    </cdr:from>
    <cdr:to>
      <cdr:x>0.25571</cdr:x>
      <cdr:y>0.96544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2867" y="2400316"/>
          <a:ext cx="1457333" cy="18573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>
              <a:solidFill>
                <a:sysClr val="windowText" lastClr="00000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Trained w/ Active Users = 155 </a:t>
          </a:r>
        </a:p>
        <a:p xmlns:a="http://schemas.openxmlformats.org/drawingml/2006/main">
          <a:r>
            <a:rPr lang="en-US" sz="1100" baseline="0">
              <a:solidFill>
                <a:schemeClr val="tx1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(84 out of 155 have 'done work')</a:t>
          </a:r>
        </a:p>
        <a:p xmlns:a="http://schemas.openxmlformats.org/drawingml/2006/main">
          <a:endParaRPr lang="en-US" sz="1100" baseline="0">
            <a:solidFill>
              <a:schemeClr val="tx1"/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a:endParaRPr>
        </a:p>
        <a:p xmlns:a="http://schemas.openxmlformats.org/drawingml/2006/main">
          <a:r>
            <a:rPr lang="en-US" sz="1100" baseline="0">
              <a:solidFill>
                <a:schemeClr val="tx1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a:rPr>
            <a:t>Trained Only = 111</a:t>
          </a:r>
        </a:p>
        <a:p xmlns:a="http://schemas.openxmlformats.org/drawingml/2006/main">
          <a:endParaRPr lang="en-US" sz="1100" baseline="0">
            <a:solidFill>
              <a:schemeClr val="tx1"/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9656-DDCA-4452-8C34-3830FA08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cp:lastPrinted>2012-10-15T20:35:00Z</cp:lastPrinted>
  <dcterms:created xsi:type="dcterms:W3CDTF">2012-11-08T14:44:00Z</dcterms:created>
  <dcterms:modified xsi:type="dcterms:W3CDTF">2012-11-08T14:44:00Z</dcterms:modified>
</cp:coreProperties>
</file>