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02">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Move</w:t>
      </w:r>
    </w:p>
    <w:p w:rsidR="00000000" w:rsidDel="00000000" w:rsidP="00000000" w:rsidRDefault="00000000" w:rsidRPr="00000000" w14:paraId="00000003">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004">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005">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06">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07">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4310" cy="1379220"/>
            <wp:effectExtent b="0" l="0" r="0" t="0"/>
            <wp:docPr id="2" name="image6.png"/>
            <a:graphic>
              <a:graphicData uri="http://schemas.openxmlformats.org/drawingml/2006/picture">
                <pic:pic>
                  <pic:nvPicPr>
                    <pic:cNvPr id="0" name="image6.png"/>
                    <pic:cNvPicPr preferRelativeResize="0"/>
                  </pic:nvPicPr>
                  <pic:blipFill>
                    <a:blip r:embed="rId6"/>
                    <a:srcRect b="0" l="0" r="0" t="0"/>
                    <a:stretch>
                      <a:fillRect/>
                    </a:stretch>
                  </pic:blipFill>
                  <pic:spPr>
                    <a:xfrm>
                      <a:off x="0" y="0"/>
                      <a:ext cx="1464310" cy="137922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08">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09">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A">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B">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C">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0D">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0E">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0F">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010">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011">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012">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2"/>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3">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A">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B">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1C">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1F">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0">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21">
            <w:pPr>
              <w:numPr>
                <w:ilvl w:val="0"/>
                <w:numId w:val="17"/>
              </w:numPr>
              <w:spacing w:line="240" w:lineRule="auto"/>
              <w:ind w:left="720" w:hanging="360"/>
            </w:pPr>
            <w:r w:rsidDel="00000000" w:rsidR="00000000" w:rsidRPr="00000000">
              <w:rPr>
                <w:rtl w:val="0"/>
              </w:rPr>
            </w:r>
          </w:p>
        </w:tc>
      </w:tr>
    </w:tbl>
    <w:p w:rsidR="00000000" w:rsidDel="00000000" w:rsidP="00000000" w:rsidRDefault="00000000" w:rsidRPr="00000000" w14:paraId="00000022">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23">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Relocation Type - Move</w:t>
      </w:r>
    </w:p>
    <w:p w:rsidR="00000000" w:rsidDel="00000000" w:rsidP="00000000" w:rsidRDefault="00000000" w:rsidRPr="00000000" w14:paraId="00000024">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Move relocation type in HMS documents the significant move of records, usually from one facility to another.  This relocation type can be used for the following reasons:</w:t>
      </w:r>
    </w:p>
    <w:p w:rsidR="00000000" w:rsidDel="00000000" w:rsidP="00000000" w:rsidRDefault="00000000" w:rsidRPr="00000000" w14:paraId="00000026">
      <w:pPr>
        <w:numPr>
          <w:ilvl w:val="0"/>
          <w:numId w:val="13"/>
        </w:numPr>
        <w:spacing w:line="276" w:lineRule="auto"/>
        <w:ind w:left="720" w:hanging="360"/>
      </w:pPr>
      <w:r w:rsidDel="00000000" w:rsidR="00000000" w:rsidRPr="00000000">
        <w:rPr>
          <w:rFonts w:ascii="Times New Roman" w:cs="Times New Roman" w:eastAsia="Times New Roman" w:hAnsi="Times New Roman"/>
          <w:sz w:val="24"/>
          <w:szCs w:val="24"/>
          <w:rtl w:val="0"/>
        </w:rPr>
        <w:t xml:space="preserve">Special storage needs like cold storage</w:t>
      </w:r>
    </w:p>
    <w:p w:rsidR="00000000" w:rsidDel="00000000" w:rsidP="00000000" w:rsidRDefault="00000000" w:rsidRPr="00000000" w14:paraId="00000027">
      <w:pPr>
        <w:numPr>
          <w:ilvl w:val="0"/>
          <w:numId w:val="13"/>
        </w:numPr>
        <w:spacing w:line="276" w:lineRule="auto"/>
        <w:ind w:left="720" w:hanging="360"/>
      </w:pPr>
      <w:r w:rsidDel="00000000" w:rsidR="00000000" w:rsidRPr="00000000">
        <w:rPr>
          <w:rFonts w:ascii="Times New Roman" w:cs="Times New Roman" w:eastAsia="Times New Roman" w:hAnsi="Times New Roman"/>
          <w:sz w:val="24"/>
          <w:szCs w:val="24"/>
          <w:rtl w:val="0"/>
        </w:rPr>
        <w:t xml:space="preserve">Regionalization</w:t>
      </w:r>
    </w:p>
    <w:p w:rsidR="00000000" w:rsidDel="00000000" w:rsidP="00000000" w:rsidRDefault="00000000" w:rsidRPr="00000000" w14:paraId="00000028">
      <w:pPr>
        <w:numPr>
          <w:ilvl w:val="0"/>
          <w:numId w:val="13"/>
        </w:numPr>
        <w:spacing w:after="200" w:line="276" w:lineRule="auto"/>
        <w:ind w:left="720" w:hanging="360"/>
      </w:pPr>
      <w:r w:rsidDel="00000000" w:rsidR="00000000" w:rsidRPr="00000000">
        <w:rPr>
          <w:rFonts w:ascii="Times New Roman" w:cs="Times New Roman" w:eastAsia="Times New Roman" w:hAnsi="Times New Roman"/>
          <w:sz w:val="24"/>
          <w:szCs w:val="24"/>
          <w:rtl w:val="0"/>
        </w:rPr>
        <w:t xml:space="preserve">Moving of records from one NARA facility to another </w:t>
      </w:r>
    </w:p>
    <w:p w:rsidR="00000000" w:rsidDel="00000000" w:rsidP="00000000" w:rsidRDefault="00000000" w:rsidRPr="00000000" w14:paraId="00000029">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Move relocation type is different from the Transfer relocation type.  Physical custody of the records remains the same, but the physical location changes.  In the Transfer relocation, physical custody of the records changes from one unit to another.</w:t>
      </w:r>
    </w:p>
    <w:p w:rsidR="00000000" w:rsidDel="00000000" w:rsidP="00000000" w:rsidRDefault="00000000" w:rsidRPr="00000000" w14:paraId="0000002A">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Steps</w:t>
      </w:r>
    </w:p>
    <w:p w:rsidR="00000000" w:rsidDel="00000000" w:rsidP="00000000" w:rsidRDefault="00000000" w:rsidRPr="00000000" w14:paraId="0000002C">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02D">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Move as Relocation type.</w:t>
      </w:r>
    </w:p>
    <w:p w:rsidR="00000000" w:rsidDel="00000000" w:rsidP="00000000" w:rsidRDefault="00000000" w:rsidRPr="00000000" w14:paraId="0000002E">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w:t>
      </w:r>
    </w:p>
    <w:p w:rsidR="00000000" w:rsidDel="00000000" w:rsidP="00000000" w:rsidRDefault="00000000" w:rsidRPr="00000000" w14:paraId="0000002F">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030">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will be moved.</w:t>
      </w:r>
    </w:p>
    <w:p w:rsidR="00000000" w:rsidDel="00000000" w:rsidP="00000000" w:rsidRDefault="00000000" w:rsidRPr="00000000" w14:paraId="00000031">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Transfer Reason – Regionalization, Special Storage Needs, or Other.</w:t>
      </w:r>
    </w:p>
    <w:p w:rsidR="00000000" w:rsidDel="00000000" w:rsidP="00000000" w:rsidRDefault="00000000" w:rsidRPr="00000000" w14:paraId="00000032">
      <w:pPr>
        <w:numPr>
          <w:ilvl w:val="1"/>
          <w:numId w:val="7"/>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Special Storage Needs is chosen, choose appropriate reason in Special Storage Needs field.</w:t>
      </w:r>
    </w:p>
    <w:p w:rsidR="00000000" w:rsidDel="00000000" w:rsidP="00000000" w:rsidRDefault="00000000" w:rsidRPr="00000000" w14:paraId="00000033">
      <w:pPr>
        <w:numPr>
          <w:ilvl w:val="1"/>
          <w:numId w:val="7"/>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Other is chosen, explain reason for move in Other Reason field.</w:t>
      </w:r>
    </w:p>
    <w:p w:rsidR="00000000" w:rsidDel="00000000" w:rsidP="00000000" w:rsidRDefault="00000000" w:rsidRPr="00000000" w14:paraId="00000034">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Shipping Instructions and Comments as necessary.</w:t>
      </w:r>
    </w:p>
    <w:p w:rsidR="00000000" w:rsidDel="00000000" w:rsidP="00000000" w:rsidRDefault="00000000" w:rsidRPr="00000000" w14:paraId="00000035">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036">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moved.  If all assets are being moved, hit Add All Assets. If individual assets are being moved, you can either click Add next to that asset, or highlight the assets and click Add Selected Assets.</w:t>
      </w:r>
    </w:p>
    <w:p w:rsidR="00000000" w:rsidDel="00000000" w:rsidP="00000000" w:rsidRDefault="00000000" w:rsidRPr="00000000" w14:paraId="00000037">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Update asset locations through Space Allocation or manually. </w:t>
      </w:r>
    </w:p>
    <w:p w:rsidR="00000000" w:rsidDel="00000000" w:rsidP="00000000" w:rsidRDefault="00000000" w:rsidRPr="00000000" w14:paraId="00000038">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Closed.  This closes the Relocation, and keeps a permanent documentation of the move. </w:t>
      </w:r>
    </w:p>
    <w:p w:rsidR="00000000" w:rsidDel="00000000" w:rsidP="00000000" w:rsidRDefault="00000000" w:rsidRPr="00000000" w14:paraId="00000039">
      <w:pPr>
        <w:numPr>
          <w:ilvl w:val="0"/>
          <w:numId w:val="7"/>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ARC or DAS to determine if they need to be updated.  </w:t>
      </w:r>
    </w:p>
    <w:p w:rsidR="00000000" w:rsidDel="00000000" w:rsidP="00000000" w:rsidRDefault="00000000" w:rsidRPr="00000000" w14:paraId="0000003A">
      <w:pPr>
        <w:spacing w:after="200"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3C">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Disposal</w:t>
      </w:r>
    </w:p>
    <w:p w:rsidR="00000000" w:rsidDel="00000000" w:rsidP="00000000" w:rsidRDefault="00000000" w:rsidRPr="00000000" w14:paraId="0000003D">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03E">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03F">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40">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41">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8120" cy="1376045"/>
            <wp:effectExtent b="0" l="0" r="0" t="0"/>
            <wp:docPr id="4" name="image4.png"/>
            <a:graphic>
              <a:graphicData uri="http://schemas.openxmlformats.org/drawingml/2006/picture">
                <pic:pic>
                  <pic:nvPicPr>
                    <pic:cNvPr id="0" name="image4.png"/>
                    <pic:cNvPicPr preferRelativeResize="0"/>
                  </pic:nvPicPr>
                  <pic:blipFill>
                    <a:blip r:embed="rId7"/>
                    <a:srcRect b="0" l="0" r="0" t="0"/>
                    <a:stretch>
                      <a:fillRect/>
                    </a:stretch>
                  </pic:blipFill>
                  <pic:spPr>
                    <a:xfrm>
                      <a:off x="0" y="0"/>
                      <a:ext cx="1468120" cy="1376045"/>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42">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43">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3"/>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4">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5">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6">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7">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48">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49">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04A">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04B">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04C">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4"/>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4D">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52">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53">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54">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55">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56">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7">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8">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9">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A">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5B">
            <w:pPr>
              <w:numPr>
                <w:ilvl w:val="0"/>
                <w:numId w:val="16"/>
              </w:numPr>
              <w:spacing w:line="240" w:lineRule="auto"/>
              <w:ind w:left="720" w:hanging="360"/>
            </w:pPr>
            <w:r w:rsidDel="00000000" w:rsidR="00000000" w:rsidRPr="00000000">
              <w:rPr>
                <w:rtl w:val="0"/>
              </w:rPr>
            </w:r>
          </w:p>
        </w:tc>
      </w:tr>
    </w:tbl>
    <w:p w:rsidR="00000000" w:rsidDel="00000000" w:rsidP="00000000" w:rsidRDefault="00000000" w:rsidRPr="00000000" w14:paraId="0000005C">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5D">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Relocation Type - Disposal</w:t>
      </w:r>
    </w:p>
    <w:p w:rsidR="00000000" w:rsidDel="00000000" w:rsidP="00000000" w:rsidRDefault="00000000" w:rsidRPr="00000000" w14:paraId="0000005E">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F">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Disposal relocation type in HMS documents the disposal of records and the reason for disposal.  You must complete a Disposal Relocation in order to change a record entry status to Disposal.  Refer to NARA 1540 for Deaccessioning and Disposal of Archival Federal Records and your units guidance.</w:t>
      </w:r>
    </w:p>
    <w:p w:rsidR="00000000" w:rsidDel="00000000" w:rsidP="00000000" w:rsidRDefault="00000000" w:rsidRPr="00000000" w14:paraId="00000060">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1">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Steps</w:t>
      </w:r>
    </w:p>
    <w:p w:rsidR="00000000" w:rsidDel="00000000" w:rsidP="00000000" w:rsidRDefault="00000000" w:rsidRPr="00000000" w14:paraId="00000062">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063">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Disposal as Relocation type.</w:t>
      </w:r>
    </w:p>
    <w:p w:rsidR="00000000" w:rsidDel="00000000" w:rsidP="00000000" w:rsidRDefault="00000000" w:rsidRPr="00000000" w14:paraId="00000064">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appropriate Disposal Type from the following options:</w:t>
      </w:r>
    </w:p>
    <w:p w:rsidR="00000000" w:rsidDel="00000000" w:rsidP="00000000" w:rsidRDefault="00000000" w:rsidRPr="00000000" w14:paraId="00000065">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Temp</w:t>
      </w:r>
    </w:p>
    <w:p w:rsidR="00000000" w:rsidDel="00000000" w:rsidP="00000000" w:rsidRDefault="00000000" w:rsidRPr="00000000" w14:paraId="00000066">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Non Record Material</w:t>
      </w:r>
    </w:p>
    <w:p w:rsidR="00000000" w:rsidDel="00000000" w:rsidP="00000000" w:rsidRDefault="00000000" w:rsidRPr="00000000" w14:paraId="00000067">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Reappraisal</w:t>
      </w:r>
    </w:p>
    <w:p w:rsidR="00000000" w:rsidDel="00000000" w:rsidP="00000000" w:rsidRDefault="00000000" w:rsidRPr="00000000" w14:paraId="00000068">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Freeze</w:t>
      </w:r>
    </w:p>
    <w:p w:rsidR="00000000" w:rsidDel="00000000" w:rsidP="00000000" w:rsidRDefault="00000000" w:rsidRPr="00000000" w14:paraId="00000069">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Duplicates</w:t>
      </w:r>
    </w:p>
    <w:p w:rsidR="00000000" w:rsidDel="00000000" w:rsidP="00000000" w:rsidRDefault="00000000" w:rsidRPr="00000000" w14:paraId="0000006A">
      <w:pPr>
        <w:numPr>
          <w:ilvl w:val="1"/>
          <w:numId w:val="4"/>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Other</w:t>
      </w:r>
    </w:p>
    <w:p w:rsidR="00000000" w:rsidDel="00000000" w:rsidP="00000000" w:rsidRDefault="00000000" w:rsidRPr="00000000" w14:paraId="0000006B">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in Disposition Authority and Freeze Code fields as necessary.</w:t>
      </w:r>
    </w:p>
    <w:p w:rsidR="00000000" w:rsidDel="00000000" w:rsidP="00000000" w:rsidRDefault="00000000" w:rsidRPr="00000000" w14:paraId="0000006C">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w:t>
      </w:r>
    </w:p>
    <w:p w:rsidR="00000000" w:rsidDel="00000000" w:rsidP="00000000" w:rsidRDefault="00000000" w:rsidRPr="00000000" w14:paraId="0000006D">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will be disposed.</w:t>
      </w:r>
    </w:p>
    <w:p w:rsidR="00000000" w:rsidDel="00000000" w:rsidP="00000000" w:rsidRDefault="00000000" w:rsidRPr="00000000" w14:paraId="0000006E">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06F">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Include any pertinent information about the disposal in the Comments field or Notes tab. Attach any necessary documentation.</w:t>
      </w:r>
    </w:p>
    <w:p w:rsidR="00000000" w:rsidDel="00000000" w:rsidP="00000000" w:rsidRDefault="00000000" w:rsidRPr="00000000" w14:paraId="00000070">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071">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disposed.  If all assets are being disposed, hit Add All Assets. If individual assets are being disposed, you can either click Add next to that asset, or highlight the assets and click Add Selected Assets.</w:t>
      </w:r>
    </w:p>
    <w:p w:rsidR="00000000" w:rsidDel="00000000" w:rsidP="00000000" w:rsidRDefault="00000000" w:rsidRPr="00000000" w14:paraId="00000072">
      <w:pPr>
        <w:numPr>
          <w:ilvl w:val="0"/>
          <w:numId w:val="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Closed.  This closes the Relocation, and keeps a permanent documentation of disposal of records.</w:t>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75">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Offsite Storage</w:t>
      </w:r>
    </w:p>
    <w:p w:rsidR="00000000" w:rsidDel="00000000" w:rsidP="00000000" w:rsidRDefault="00000000" w:rsidRPr="00000000" w14:paraId="00000076">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077">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078">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79">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7A">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6850" cy="1381125"/>
            <wp:effectExtent b="0" l="0" r="0" t="0"/>
            <wp:docPr id="3"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1466850" cy="1381125"/>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7B">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7C">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5"/>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D">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E">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7F">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80">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81">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82">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083">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084">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085">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6"/>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6">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B">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C">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D">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E">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8F">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0">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1">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2">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3">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94">
            <w:pPr>
              <w:numPr>
                <w:ilvl w:val="0"/>
                <w:numId w:val="5"/>
              </w:numPr>
              <w:spacing w:line="240" w:lineRule="auto"/>
              <w:ind w:left="720" w:hanging="360"/>
            </w:pPr>
            <w:r w:rsidDel="00000000" w:rsidR="00000000" w:rsidRPr="00000000">
              <w:rPr>
                <w:rtl w:val="0"/>
              </w:rPr>
            </w:r>
          </w:p>
        </w:tc>
      </w:tr>
    </w:tbl>
    <w:p w:rsidR="00000000" w:rsidDel="00000000" w:rsidP="00000000" w:rsidRDefault="00000000" w:rsidRPr="00000000" w14:paraId="00000095">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96">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Relocation Type – Offsite Storage</w:t>
      </w:r>
    </w:p>
    <w:p w:rsidR="00000000" w:rsidDel="00000000" w:rsidP="00000000" w:rsidRDefault="00000000" w:rsidRPr="00000000" w14:paraId="00000097">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98">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Offsite Storage relocation type in HMS documents the move of records from the originating unit’s physical location to an offsite storage facility.  </w:t>
      </w:r>
    </w:p>
    <w:p w:rsidR="00000000" w:rsidDel="00000000" w:rsidP="00000000" w:rsidRDefault="00000000" w:rsidRPr="00000000" w14:paraId="00000099">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It is similar in function to the Move relocation type, but allows for more specific documentation of the movement of records to offsite storage.</w:t>
      </w:r>
    </w:p>
    <w:p w:rsidR="00000000" w:rsidDel="00000000" w:rsidP="00000000" w:rsidRDefault="00000000" w:rsidRPr="00000000" w14:paraId="0000009A">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Steps</w:t>
      </w:r>
    </w:p>
    <w:p w:rsidR="00000000" w:rsidDel="00000000" w:rsidP="00000000" w:rsidRDefault="00000000" w:rsidRPr="00000000" w14:paraId="0000009B">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09C">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Offsite Storage as Relocation type.</w:t>
      </w:r>
    </w:p>
    <w:p w:rsidR="00000000" w:rsidDel="00000000" w:rsidP="00000000" w:rsidRDefault="00000000" w:rsidRPr="00000000" w14:paraId="0000009D">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w:t>
      </w:r>
    </w:p>
    <w:p w:rsidR="00000000" w:rsidDel="00000000" w:rsidP="00000000" w:rsidRDefault="00000000" w:rsidRPr="00000000" w14:paraId="0000009E">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09F">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will be moved offsite.</w:t>
      </w:r>
    </w:p>
    <w:p w:rsidR="00000000" w:rsidDel="00000000" w:rsidP="00000000" w:rsidRDefault="00000000" w:rsidRPr="00000000" w14:paraId="000000A0">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Transfer Reason if necessary.</w:t>
      </w:r>
    </w:p>
    <w:p w:rsidR="00000000" w:rsidDel="00000000" w:rsidP="00000000" w:rsidRDefault="00000000" w:rsidRPr="00000000" w14:paraId="000000A1">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Shipping Instructions and Comments as necessary.</w:t>
      </w:r>
    </w:p>
    <w:p w:rsidR="00000000" w:rsidDel="00000000" w:rsidP="00000000" w:rsidRDefault="00000000" w:rsidRPr="00000000" w14:paraId="000000A2">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0A3">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moved to offsite storage.  If all assets are being moved, hit Add All Assets. If individual assets are being moved, you can either click Add next to that asset, or highlight the assets and click Add Selected Assets.</w:t>
      </w:r>
    </w:p>
    <w:p w:rsidR="00000000" w:rsidDel="00000000" w:rsidP="00000000" w:rsidRDefault="00000000" w:rsidRPr="00000000" w14:paraId="000000A4">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Pending Shipment.</w:t>
      </w:r>
    </w:p>
    <w:p w:rsidR="00000000" w:rsidDel="00000000" w:rsidP="00000000" w:rsidRDefault="00000000" w:rsidRPr="00000000" w14:paraId="000000A5">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Space Allocation tab.</w:t>
      </w:r>
    </w:p>
    <w:p w:rsidR="00000000" w:rsidDel="00000000" w:rsidP="00000000" w:rsidRDefault="00000000" w:rsidRPr="00000000" w14:paraId="000000A6">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New button. Select Permanent Staging in Location Category. Archival Center will default to user’s archival center. A different one can be chosen if necessary. In Facility select appropriate facility. In Staging Location, choose the appropriate staging area.</w:t>
      </w:r>
    </w:p>
    <w:p w:rsidR="00000000" w:rsidDel="00000000" w:rsidP="00000000" w:rsidRDefault="00000000" w:rsidRPr="00000000" w14:paraId="000000A7">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Click Assign Selected Options then Shelve all Assets.  This changes the location to a permanent staging area at the Offsite storage site.</w:t>
      </w:r>
    </w:p>
    <w:p w:rsidR="00000000" w:rsidDel="00000000" w:rsidP="00000000" w:rsidRDefault="00000000" w:rsidRPr="00000000" w14:paraId="000000A8">
      <w:pPr>
        <w:numPr>
          <w:ilvl w:val="1"/>
          <w:numId w:val="2"/>
        </w:numPr>
        <w:spacing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specific locations for Offsite Storage facility are available in HMS, these locations can be used if desired.</w:t>
      </w:r>
    </w:p>
    <w:p w:rsidR="00000000" w:rsidDel="00000000" w:rsidP="00000000" w:rsidRDefault="00000000" w:rsidRPr="00000000" w14:paraId="000000A9">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When records are shipped, change Status to Shipped.  This closes the Relocation, and keeps a permanent documentation of the move to offsite storage.</w:t>
      </w:r>
    </w:p>
    <w:p w:rsidR="00000000" w:rsidDel="00000000" w:rsidP="00000000" w:rsidRDefault="00000000" w:rsidRPr="00000000" w14:paraId="000000AA">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Record Entry tab.</w:t>
      </w:r>
    </w:p>
    <w:p w:rsidR="00000000" w:rsidDel="00000000" w:rsidP="00000000" w:rsidRDefault="00000000" w:rsidRPr="00000000" w14:paraId="000000AB">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record entry that will be moved offsite.</w:t>
      </w:r>
    </w:p>
    <w:p w:rsidR="00000000" w:rsidDel="00000000" w:rsidP="00000000" w:rsidRDefault="00000000" w:rsidRPr="00000000" w14:paraId="000000AC">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0AD">
      <w:pPr>
        <w:numPr>
          <w:ilvl w:val="0"/>
          <w:numId w:val="2"/>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Change location of moved assets to appropriate staging area.  For example, Lenexa for Archives II textual holdings is A2-02-LENEXA-01</w:t>
      </w:r>
    </w:p>
    <w:p w:rsidR="00000000" w:rsidDel="00000000" w:rsidP="00000000" w:rsidRDefault="00000000" w:rsidRPr="00000000" w14:paraId="000000AE">
      <w:pPr>
        <w:numPr>
          <w:ilvl w:val="1"/>
          <w:numId w:val="2"/>
        </w:numPr>
        <w:spacing w:after="200"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specific locations for Offsite Storage facility are available in HMS, these locations can be used if desired.</w:t>
      </w:r>
    </w:p>
    <w:p w:rsidR="00000000" w:rsidDel="00000000" w:rsidP="00000000" w:rsidRDefault="00000000" w:rsidRPr="00000000" w14:paraId="000000AF">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B0">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Reallocation</w:t>
      </w:r>
    </w:p>
    <w:p w:rsidR="00000000" w:rsidDel="00000000" w:rsidP="00000000" w:rsidRDefault="00000000" w:rsidRPr="00000000" w14:paraId="000000B1">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0B2">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0B3">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B4">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B5">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4310" cy="1379220"/>
            <wp:effectExtent b="0" l="0" r="0" t="0"/>
            <wp:docPr id="5"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1464310" cy="1379220"/>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B6">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B7">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7"/>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8">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9">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A">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BB">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BC">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BD">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0BE">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0BF">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0C0">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8"/>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1">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6">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7">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0CA">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B">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C">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CF">
            <w:pPr>
              <w:numPr>
                <w:ilvl w:val="0"/>
                <w:numId w:val="10"/>
              </w:numPr>
              <w:spacing w:line="240" w:lineRule="auto"/>
              <w:ind w:left="720" w:hanging="360"/>
            </w:pPr>
            <w:r w:rsidDel="00000000" w:rsidR="00000000" w:rsidRPr="00000000">
              <w:rPr>
                <w:rtl w:val="0"/>
              </w:rPr>
            </w:r>
          </w:p>
        </w:tc>
      </w:tr>
    </w:tbl>
    <w:p w:rsidR="00000000" w:rsidDel="00000000" w:rsidP="00000000" w:rsidRDefault="00000000" w:rsidRPr="00000000" w14:paraId="000000D0">
      <w:pPr>
        <w:spacing w:after="200" w:line="276" w:lineRule="auto"/>
        <w:rPr>
          <w:rFonts w:ascii="Calibri" w:cs="Calibri" w:eastAsia="Calibri" w:hAnsi="Calibri"/>
          <w:b w:val="1"/>
        </w:rPr>
      </w:pPr>
      <w:r w:rsidDel="00000000" w:rsidR="00000000" w:rsidRPr="00000000">
        <w:br w:type="page"/>
      </w:r>
      <w:r w:rsidDel="00000000" w:rsidR="00000000" w:rsidRPr="00000000">
        <w:rPr>
          <w:rtl w:val="0"/>
        </w:rPr>
      </w:r>
    </w:p>
    <w:p w:rsidR="00000000" w:rsidDel="00000000" w:rsidP="00000000" w:rsidRDefault="00000000" w:rsidRPr="00000000" w14:paraId="000000D1">
      <w:pPr>
        <w:spacing w:after="200" w:line="276"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Relocation Type – Reallocate</w:t>
      </w:r>
    </w:p>
    <w:p w:rsidR="00000000" w:rsidDel="00000000" w:rsidP="00000000" w:rsidRDefault="00000000" w:rsidRPr="00000000" w14:paraId="000000D2">
      <w:pPr>
        <w:spacing w:after="200" w:line="276"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3">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Reallocate relocation type in HMS documents the reallocation of records from one record group to another.  It is also the only way to change the record group of a record entry or specific assets in HMS. The Archival Unit associated with the record entry or asset(s) will not change. There are two options for reallocating in HMS: Reallocate-Record Entry and Reallocate-Assets.</w:t>
      </w:r>
    </w:p>
    <w:p w:rsidR="00000000" w:rsidDel="00000000" w:rsidP="00000000" w:rsidRDefault="00000000" w:rsidRPr="00000000" w14:paraId="000000D4">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D5">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Reallocate-Record Entry – All assets in the record entry will be reallocated to a new record group. The record entry number may or may not change.</w:t>
      </w:r>
    </w:p>
    <w:p w:rsidR="00000000" w:rsidDel="00000000" w:rsidP="00000000" w:rsidRDefault="00000000" w:rsidRPr="00000000" w14:paraId="000000D6">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0D7">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Reallocate-Record Entry as Relocation type.</w:t>
      </w:r>
    </w:p>
    <w:p w:rsidR="00000000" w:rsidDel="00000000" w:rsidP="00000000" w:rsidRDefault="00000000" w:rsidRPr="00000000" w14:paraId="000000D8">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 of the record entry you are reallocating.</w:t>
      </w:r>
    </w:p>
    <w:p w:rsidR="00000000" w:rsidDel="00000000" w:rsidP="00000000" w:rsidRDefault="00000000" w:rsidRPr="00000000" w14:paraId="000000D9">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 the record entry will be reallocated into.</w:t>
      </w:r>
    </w:p>
    <w:p w:rsidR="00000000" w:rsidDel="00000000" w:rsidP="00000000" w:rsidRDefault="00000000" w:rsidRPr="00000000" w14:paraId="000000DA">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0DB">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will be reallocated.</w:t>
      </w:r>
    </w:p>
    <w:p w:rsidR="00000000" w:rsidDel="00000000" w:rsidP="00000000" w:rsidRDefault="00000000" w:rsidRPr="00000000" w14:paraId="000000DC">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system will automatically fill in the Finding Aid # and Record Entry # fields.</w:t>
      </w:r>
    </w:p>
    <w:p w:rsidR="00000000" w:rsidDel="00000000" w:rsidP="00000000" w:rsidRDefault="00000000" w:rsidRPr="00000000" w14:paraId="000000DD">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Select the new Finding Aid prefix/suffix and Record Entry prefix/suffix that the original record entry will become.</w:t>
      </w:r>
    </w:p>
    <w:p w:rsidR="00000000" w:rsidDel="00000000" w:rsidP="00000000" w:rsidRDefault="00000000" w:rsidRPr="00000000" w14:paraId="000000DE">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0DF">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Hit Add All Assets. </w:t>
      </w:r>
    </w:p>
    <w:p w:rsidR="00000000" w:rsidDel="00000000" w:rsidP="00000000" w:rsidRDefault="00000000" w:rsidRPr="00000000" w14:paraId="000000E0">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Closed. </w:t>
      </w:r>
    </w:p>
    <w:p w:rsidR="00000000" w:rsidDel="00000000" w:rsidP="00000000" w:rsidRDefault="00000000" w:rsidRPr="00000000" w14:paraId="000000E1">
      <w:pPr>
        <w:numPr>
          <w:ilvl w:val="0"/>
          <w:numId w:val="9"/>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record group for the record entry will now be changed to the new record group selected in the Relocation.</w:t>
      </w:r>
    </w:p>
    <w:p w:rsidR="00000000" w:rsidDel="00000000" w:rsidP="00000000" w:rsidRDefault="00000000" w:rsidRPr="00000000" w14:paraId="000000E2">
      <w:pPr>
        <w:numPr>
          <w:ilvl w:val="0"/>
          <w:numId w:val="9"/>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ARC or DAS to determine if they need to be updated.  </w:t>
      </w:r>
    </w:p>
    <w:p w:rsidR="00000000" w:rsidDel="00000000" w:rsidP="00000000" w:rsidRDefault="00000000" w:rsidRPr="00000000" w14:paraId="000000E3">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E4">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Reallocate-Assets – Specific assets from a record entry will be reallocated to a new record group, and become part of an existing record entry.</w:t>
      </w:r>
    </w:p>
    <w:p w:rsidR="00000000" w:rsidDel="00000000" w:rsidP="00000000" w:rsidRDefault="00000000" w:rsidRPr="00000000" w14:paraId="000000E5">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0E6">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Reallocate-Assets as Relocation type.</w:t>
      </w:r>
    </w:p>
    <w:p w:rsidR="00000000" w:rsidDel="00000000" w:rsidP="00000000" w:rsidRDefault="00000000" w:rsidRPr="00000000" w14:paraId="000000E7">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 of the record entry you are reallocating.</w:t>
      </w:r>
    </w:p>
    <w:p w:rsidR="00000000" w:rsidDel="00000000" w:rsidP="00000000" w:rsidRDefault="00000000" w:rsidRPr="00000000" w14:paraId="000000E8">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will be reallocated.</w:t>
      </w:r>
    </w:p>
    <w:p w:rsidR="00000000" w:rsidDel="00000000" w:rsidP="00000000" w:rsidRDefault="00000000" w:rsidRPr="00000000" w14:paraId="000000E9">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 the record entry will be reallocated into.</w:t>
      </w:r>
    </w:p>
    <w:p w:rsidR="00000000" w:rsidDel="00000000" w:rsidP="00000000" w:rsidRDefault="00000000" w:rsidRPr="00000000" w14:paraId="000000EA">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Entry Name the selected assets will become a part of.</w:t>
      </w:r>
    </w:p>
    <w:p w:rsidR="00000000" w:rsidDel="00000000" w:rsidP="00000000" w:rsidRDefault="00000000" w:rsidRPr="00000000" w14:paraId="000000EB">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system will automatically fill in the Record Entry number.</w:t>
      </w:r>
    </w:p>
    <w:p w:rsidR="00000000" w:rsidDel="00000000" w:rsidP="00000000" w:rsidRDefault="00000000" w:rsidRPr="00000000" w14:paraId="000000EC">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0ED">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moved.  You can either click Add next to a specific asset, or highlight the assets and click Add Selected Assets.</w:t>
      </w:r>
    </w:p>
    <w:p w:rsidR="00000000" w:rsidDel="00000000" w:rsidP="00000000" w:rsidRDefault="00000000" w:rsidRPr="00000000" w14:paraId="000000EE">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Closed.</w:t>
      </w:r>
    </w:p>
    <w:p w:rsidR="00000000" w:rsidDel="00000000" w:rsidP="00000000" w:rsidRDefault="00000000" w:rsidRPr="00000000" w14:paraId="000000EF">
      <w:pPr>
        <w:numPr>
          <w:ilvl w:val="0"/>
          <w:numId w:val="1"/>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selected assets will appear in the chosen record entry.  They will no longer appear in the original record entry.</w:t>
      </w:r>
    </w:p>
    <w:p w:rsidR="00000000" w:rsidDel="00000000" w:rsidP="00000000" w:rsidRDefault="00000000" w:rsidRPr="00000000" w14:paraId="000000F0">
      <w:pPr>
        <w:numPr>
          <w:ilvl w:val="0"/>
          <w:numId w:val="1"/>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Check ARC or DAS to determine if they need to be updated.  </w:t>
      </w:r>
    </w:p>
    <w:p w:rsidR="00000000" w:rsidDel="00000000" w:rsidP="00000000" w:rsidRDefault="00000000" w:rsidRPr="00000000" w14:paraId="000000F1">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0F2">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Reassignment</w:t>
      </w:r>
    </w:p>
    <w:p w:rsidR="00000000" w:rsidDel="00000000" w:rsidP="00000000" w:rsidRDefault="00000000" w:rsidRPr="00000000" w14:paraId="000000F3">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0F4">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0F5">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F6">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0F7">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6850" cy="1381125"/>
            <wp:effectExtent b="0" l="0" r="0" t="0"/>
            <wp:docPr id="1"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1466850" cy="1381125"/>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0F8">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0F9">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9"/>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A">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B">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C">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FD">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0FE">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0FF">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100">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101">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102">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10"/>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3">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8">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9">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A">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B">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0C">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0D">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0E">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0F">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10">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11">
            <w:pPr>
              <w:numPr>
                <w:ilvl w:val="0"/>
                <w:numId w:val="12"/>
              </w:numPr>
              <w:spacing w:line="240" w:lineRule="auto"/>
              <w:ind w:left="720" w:hanging="360"/>
            </w:pPr>
            <w:r w:rsidDel="00000000" w:rsidR="00000000" w:rsidRPr="00000000">
              <w:rPr>
                <w:rtl w:val="0"/>
              </w:rPr>
            </w:r>
          </w:p>
        </w:tc>
      </w:tr>
    </w:tbl>
    <w:p w:rsidR="00000000" w:rsidDel="00000000" w:rsidP="00000000" w:rsidRDefault="00000000" w:rsidRPr="00000000" w14:paraId="00000112">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3">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4">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5">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6">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7">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8">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9">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A">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B">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C">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D">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E">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1F">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0">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1">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2">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3">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4">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25">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Relocation Type - Reassignment</w:t>
      </w:r>
    </w:p>
    <w:p w:rsidR="00000000" w:rsidDel="00000000" w:rsidP="00000000" w:rsidRDefault="00000000" w:rsidRPr="00000000" w14:paraId="00000126">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7">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Reassignment relocation type in HMS allows the user to move assets from one record entry to another record entry.  It retains all attributes of the Asset ID including location, container number, and folders/items.  The asset(s) must be reassigned to a record entry in the same record group.  If the record group of the asset needs to be changed, use the Reallocate relocation type.</w:t>
      </w:r>
    </w:p>
    <w:p w:rsidR="00000000" w:rsidDel="00000000" w:rsidP="00000000" w:rsidRDefault="00000000" w:rsidRPr="00000000" w14:paraId="00000128">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29">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Steps</w:t>
      </w:r>
    </w:p>
    <w:p w:rsidR="00000000" w:rsidDel="00000000" w:rsidP="00000000" w:rsidRDefault="00000000" w:rsidRPr="00000000" w14:paraId="0000012A">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12B">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Reassignment as Relocation type.</w:t>
      </w:r>
    </w:p>
    <w:p w:rsidR="00000000" w:rsidDel="00000000" w:rsidP="00000000" w:rsidRDefault="00000000" w:rsidRPr="00000000" w14:paraId="0000012C">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w:t>
      </w:r>
    </w:p>
    <w:p w:rsidR="00000000" w:rsidDel="00000000" w:rsidP="00000000" w:rsidRDefault="00000000" w:rsidRPr="00000000" w14:paraId="0000012D">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12E">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Source Record Entry Name field, query for and select the record entry that the asset currently belongs to. Source Finding Aid # and Source Record Entry # will be filled in automatically.</w:t>
      </w:r>
    </w:p>
    <w:p w:rsidR="00000000" w:rsidDel="00000000" w:rsidP="00000000" w:rsidRDefault="00000000" w:rsidRPr="00000000" w14:paraId="0000012F">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Destination Record Entry Name field, query for and select the record entry that the asset will become a part of. Destination Finding Aid # and Destination Record Entry # will be filled in automatically.</w:t>
      </w:r>
    </w:p>
    <w:p w:rsidR="00000000" w:rsidDel="00000000" w:rsidP="00000000" w:rsidRDefault="00000000" w:rsidRPr="00000000" w14:paraId="00000130">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131">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moved.  If all assets are being moved, hit Add All Assets. If individual assets are being moved, you can either click Add next to that asset, or highlight the assets and click Add Selected Assets.</w:t>
      </w:r>
    </w:p>
    <w:p w:rsidR="00000000" w:rsidDel="00000000" w:rsidP="00000000" w:rsidRDefault="00000000" w:rsidRPr="00000000" w14:paraId="00000132">
      <w:pPr>
        <w:numPr>
          <w:ilvl w:val="0"/>
          <w:numId w:val="6"/>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Assets are added, change the Status to Closed.  This closes the Relocation, and moves the assets to the new record entry.</w:t>
      </w:r>
    </w:p>
    <w:p w:rsidR="00000000" w:rsidDel="00000000" w:rsidP="00000000" w:rsidRDefault="00000000" w:rsidRPr="00000000" w14:paraId="00000133">
      <w:pPr>
        <w:spacing w:after="200"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4">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35">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tl w:val="0"/>
        </w:rPr>
      </w:r>
    </w:p>
    <w:p w:rsidR="00000000" w:rsidDel="00000000" w:rsidP="00000000" w:rsidRDefault="00000000" w:rsidRPr="00000000" w14:paraId="00000136">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tl w:val="0"/>
        </w:rPr>
      </w:r>
    </w:p>
    <w:p w:rsidR="00000000" w:rsidDel="00000000" w:rsidP="00000000" w:rsidRDefault="00000000" w:rsidRPr="00000000" w14:paraId="00000137">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tl w:val="0"/>
        </w:rPr>
      </w:r>
    </w:p>
    <w:p w:rsidR="00000000" w:rsidDel="00000000" w:rsidP="00000000" w:rsidRDefault="00000000" w:rsidRPr="00000000" w14:paraId="00000138">
      <w:pPr>
        <w:tabs>
          <w:tab w:val="center" w:pos="4680"/>
        </w:tabs>
        <w:spacing w:after="200" w:line="276" w:lineRule="auto"/>
        <w:jc w:val="center"/>
        <w:rPr>
          <w:rFonts w:ascii="Tahoma" w:cs="Tahoma" w:eastAsia="Tahoma" w:hAnsi="Tahoma"/>
          <w:b w:val="1"/>
          <w:smallCaps w:val="1"/>
          <w:sz w:val="48"/>
          <w:szCs w:val="48"/>
        </w:rPr>
      </w:pPr>
      <w:r w:rsidDel="00000000" w:rsidR="00000000" w:rsidRPr="00000000">
        <w:rPr>
          <w:rFonts w:ascii="Tahoma" w:cs="Tahoma" w:eastAsia="Tahoma" w:hAnsi="Tahoma"/>
          <w:b w:val="1"/>
          <w:smallCaps w:val="1"/>
          <w:sz w:val="48"/>
          <w:szCs w:val="48"/>
          <w:rtl w:val="0"/>
        </w:rPr>
        <w:t xml:space="preserve">HMS</w:t>
      </w:r>
    </w:p>
    <w:p w:rsidR="00000000" w:rsidDel="00000000" w:rsidP="00000000" w:rsidRDefault="00000000" w:rsidRPr="00000000" w14:paraId="00000139">
      <w:pPr>
        <w:tabs>
          <w:tab w:val="center" w:pos="4680"/>
        </w:tabs>
        <w:spacing w:after="200" w:line="276" w:lineRule="auto"/>
        <w:jc w:val="center"/>
        <w:rPr>
          <w:rFonts w:ascii="Tahoma" w:cs="Tahoma" w:eastAsia="Tahoma" w:hAnsi="Tahoma"/>
          <w:b w:val="1"/>
          <w:sz w:val="32"/>
          <w:szCs w:val="32"/>
        </w:rPr>
      </w:pPr>
      <w:r w:rsidDel="00000000" w:rsidR="00000000" w:rsidRPr="00000000">
        <w:rPr>
          <w:rFonts w:ascii="Tahoma" w:cs="Tahoma" w:eastAsia="Tahoma" w:hAnsi="Tahoma"/>
          <w:b w:val="1"/>
          <w:sz w:val="32"/>
          <w:szCs w:val="32"/>
          <w:rtl w:val="0"/>
        </w:rPr>
        <w:t xml:space="preserve">HMS Relocation Type - Transfer</w:t>
      </w:r>
    </w:p>
    <w:p w:rsidR="00000000" w:rsidDel="00000000" w:rsidP="00000000" w:rsidRDefault="00000000" w:rsidRPr="00000000" w14:paraId="0000013A">
      <w:pPr>
        <w:tabs>
          <w:tab w:val="center" w:pos="4680"/>
        </w:tabs>
        <w:spacing w:after="200" w:line="276" w:lineRule="auto"/>
        <w:jc w:val="center"/>
        <w:rPr>
          <w:rFonts w:ascii="Tahoma" w:cs="Tahoma" w:eastAsia="Tahoma" w:hAnsi="Tahoma"/>
          <w:b w:val="1"/>
          <w:smallCaps w:val="1"/>
          <w:sz w:val="40"/>
          <w:szCs w:val="40"/>
        </w:rPr>
      </w:pPr>
      <w:r w:rsidDel="00000000" w:rsidR="00000000" w:rsidRPr="00000000">
        <w:rPr>
          <w:rFonts w:ascii="Tahoma" w:cs="Tahoma" w:eastAsia="Tahoma" w:hAnsi="Tahoma"/>
          <w:b w:val="1"/>
          <w:sz w:val="32"/>
          <w:szCs w:val="32"/>
          <w:rtl w:val="0"/>
        </w:rPr>
        <w:t xml:space="preserve">Standard Operating Procedures</w:t>
      </w:r>
      <w:r w:rsidDel="00000000" w:rsidR="00000000" w:rsidRPr="00000000">
        <w:rPr>
          <w:rtl w:val="0"/>
        </w:rPr>
      </w:r>
    </w:p>
    <w:p w:rsidR="00000000" w:rsidDel="00000000" w:rsidP="00000000" w:rsidRDefault="00000000" w:rsidRPr="00000000" w14:paraId="0000013B">
      <w:pPr>
        <w:spacing w:after="200" w:line="276" w:lineRule="auto"/>
        <w:jc w:val="both"/>
        <w:rPr>
          <w:rFonts w:ascii="Calibri" w:cs="Calibri" w:eastAsia="Calibri" w:hAnsi="Calibri"/>
          <w:smallCaps w:val="1"/>
          <w:sz w:val="28"/>
          <w:szCs w:val="28"/>
        </w:rPr>
      </w:pPr>
      <w:r w:rsidDel="00000000" w:rsidR="00000000" w:rsidRPr="00000000">
        <w:rPr>
          <w:rtl w:val="0"/>
        </w:rPr>
      </w:r>
    </w:p>
    <w:p w:rsidR="00000000" w:rsidDel="00000000" w:rsidP="00000000" w:rsidRDefault="00000000" w:rsidRPr="00000000" w14:paraId="0000013C">
      <w:pPr>
        <w:spacing w:after="200" w:line="276" w:lineRule="auto"/>
        <w:jc w:val="center"/>
        <w:rPr>
          <w:rFonts w:ascii="Calibri" w:cs="Calibri" w:eastAsia="Calibri" w:hAnsi="Calibri"/>
        </w:rPr>
      </w:pP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3D">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tl w:val="0"/>
        </w:rPr>
        <w:tab/>
      </w:r>
      <w:r w:rsidDel="00000000" w:rsidR="00000000" w:rsidRPr="00000000">
        <w:rPr>
          <w:rtl w:val="0"/>
        </w:rPr>
      </w:r>
    </w:p>
    <w:p w:rsidR="00000000" w:rsidDel="00000000" w:rsidP="00000000" w:rsidRDefault="00000000" w:rsidRPr="00000000" w14:paraId="0000013E">
      <w:pPr>
        <w:spacing w:after="200" w:line="276" w:lineRule="auto"/>
        <w:jc w:val="center"/>
        <w:rPr>
          <w:rFonts w:ascii="Calibri" w:cs="Calibri" w:eastAsia="Calibri" w:hAnsi="Calibri"/>
          <w:sz w:val="28"/>
          <w:szCs w:val="28"/>
        </w:rPr>
      </w:pPr>
      <w:r w:rsidDel="00000000" w:rsidR="00000000" w:rsidRPr="00000000">
        <w:rPr>
          <w:rFonts w:ascii="Calibri" w:cs="Calibri" w:eastAsia="Calibri" w:hAnsi="Calibri"/>
        </w:rPr>
        <w:drawing>
          <wp:inline distB="0" distT="0" distL="114300" distR="114300">
            <wp:extent cx="1466850" cy="1381125"/>
            <wp:effectExtent b="0" l="0" r="0" t="0"/>
            <wp:docPr id="6"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1466850" cy="1381125"/>
                    </a:xfrm>
                    <a:prstGeom prst="rect"/>
                    <a:ln/>
                  </pic:spPr>
                </pic:pic>
              </a:graphicData>
            </a:graphic>
          </wp:inline>
        </w:drawing>
      </w: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3F">
      <w:pPr>
        <w:spacing w:after="200" w:line="276" w:lineRule="auto"/>
        <w:jc w:val="center"/>
        <w:rPr>
          <w:rFonts w:ascii="Calibri" w:cs="Calibri" w:eastAsia="Calibri" w:hAnsi="Calibri"/>
        </w:rPr>
      </w:pPr>
      <w:r w:rsidDel="00000000" w:rsidR="00000000" w:rsidRPr="00000000">
        <w:rPr>
          <w:rFonts w:ascii="Calibri" w:cs="Calibri" w:eastAsia="Calibri" w:hAnsi="Calibri"/>
          <w:sz w:val="28"/>
          <w:szCs w:val="28"/>
          <w:rtl w:val="0"/>
        </w:rPr>
        <w:t xml:space="preserve">   </w:t>
      </w:r>
      <w:r w:rsidDel="00000000" w:rsidR="00000000" w:rsidRPr="00000000">
        <w:rPr>
          <w:rFonts w:ascii="Calibri" w:cs="Calibri" w:eastAsia="Calibri" w:hAnsi="Calibri"/>
          <w:rtl w:val="0"/>
        </w:rPr>
        <w:t xml:space="preserve">   _________________________________</w:t>
      </w:r>
    </w:p>
    <w:p w:rsidR="00000000" w:rsidDel="00000000" w:rsidP="00000000" w:rsidRDefault="00000000" w:rsidRPr="00000000" w14:paraId="00000140">
      <w:pPr>
        <w:spacing w:after="200" w:line="276" w:lineRule="auto"/>
        <w:jc w:val="both"/>
        <w:rPr>
          <w:rFonts w:ascii="Calibri" w:cs="Calibri" w:eastAsia="Calibri" w:hAnsi="Calibri"/>
          <w:smallCaps w:val="1"/>
          <w:sz w:val="48"/>
          <w:szCs w:val="48"/>
        </w:rPr>
      </w:pPr>
      <w:r w:rsidDel="00000000" w:rsidR="00000000" w:rsidRPr="00000000">
        <w:rPr>
          <w:rtl w:val="0"/>
        </w:rPr>
      </w:r>
    </w:p>
    <w:tbl>
      <w:tblPr>
        <w:tblStyle w:val="Table11"/>
        <w:tblW w:w="9576.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4788"/>
        <w:tblGridChange w:id="0">
          <w:tblGrid>
            <w:gridCol w:w="4788"/>
            <w:gridCol w:w="4788"/>
          </w:tblGrid>
        </w:tblGridChange>
      </w:tblGrid>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1">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2">
            <w:pPr>
              <w:tabs>
                <w:tab w:val="right" w:pos="8460"/>
              </w:tabs>
              <w:spacing w:line="240" w:lineRule="auto"/>
              <w:jc w:val="right"/>
              <w:rPr>
                <w:rFonts w:ascii="Tahoma" w:cs="Tahoma" w:eastAsia="Tahoma" w:hAnsi="Tahoma"/>
              </w:rPr>
            </w:pPr>
            <w:r w:rsidDel="00000000" w:rsidR="00000000" w:rsidRPr="00000000">
              <w:rPr>
                <w:rFonts w:ascii="Tahoma" w:cs="Tahoma" w:eastAsia="Tahoma" w:hAnsi="Tahoma"/>
                <w:rtl w:val="0"/>
              </w:rPr>
              <w:t xml:space="preserve">Prepared by:</w:t>
            </w:r>
          </w:p>
        </w:tc>
      </w:tr>
      <w:tr>
        <w:trPr>
          <w:trHeight w:val="280" w:hRule="atLeast"/>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3">
            <w:pPr>
              <w:spacing w:line="240" w:lineRule="auto"/>
              <w:rPr>
                <w:rFonts w:ascii="Verdana" w:cs="Verdana" w:eastAsia="Verdana" w:hAnsi="Verdana"/>
                <w:sz w:val="32"/>
                <w:szCs w:val="3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144">
            <w:pPr>
              <w:spacing w:line="240" w:lineRule="auto"/>
              <w:jc w:val="right"/>
              <w:rPr>
                <w:rFonts w:ascii="Tahoma" w:cs="Tahoma" w:eastAsia="Tahoma" w:hAnsi="Tahoma"/>
                <w:sz w:val="32"/>
                <w:szCs w:val="32"/>
              </w:rPr>
            </w:pPr>
            <w:r w:rsidDel="00000000" w:rsidR="00000000" w:rsidRPr="00000000">
              <w:rPr>
                <w:rFonts w:ascii="Tahoma" w:cs="Tahoma" w:eastAsia="Tahoma" w:hAnsi="Tahoma"/>
                <w:rtl w:val="0"/>
              </w:rPr>
              <w:t xml:space="preserve">HMS Operating Procedures Working Group</w:t>
            </w:r>
            <w:r w:rsidDel="00000000" w:rsidR="00000000" w:rsidRPr="00000000">
              <w:rPr>
                <w:rtl w:val="0"/>
              </w:rPr>
            </w:r>
          </w:p>
        </w:tc>
      </w:tr>
    </w:tbl>
    <w:p w:rsidR="00000000" w:rsidDel="00000000" w:rsidP="00000000" w:rsidRDefault="00000000" w:rsidRPr="00000000" w14:paraId="00000145">
      <w:pPr>
        <w:spacing w:after="240" w:before="240" w:line="240" w:lineRule="auto"/>
        <w:jc w:val="center"/>
        <w:rPr>
          <w:rFonts w:ascii="Tahoma" w:cs="Tahoma" w:eastAsia="Tahoma" w:hAnsi="Tahoma"/>
          <w:b w:val="1"/>
          <w:smallCaps w:val="1"/>
          <w:sz w:val="32"/>
          <w:szCs w:val="32"/>
        </w:rPr>
      </w:pPr>
      <w:r w:rsidDel="00000000" w:rsidR="00000000" w:rsidRPr="00000000">
        <w:rPr>
          <w:rFonts w:ascii="Tahoma" w:cs="Tahoma" w:eastAsia="Tahoma" w:hAnsi="Tahoma"/>
          <w:b w:val="1"/>
          <w:smallCaps w:val="1"/>
          <w:sz w:val="32"/>
          <w:szCs w:val="32"/>
          <w:rtl w:val="0"/>
        </w:rPr>
        <w:t xml:space="preserve">National Archives and Records Administration</w:t>
      </w:r>
    </w:p>
    <w:p w:rsidR="00000000" w:rsidDel="00000000" w:rsidP="00000000" w:rsidRDefault="00000000" w:rsidRPr="00000000" w14:paraId="00000146">
      <w:pPr>
        <w:spacing w:after="200" w:line="276" w:lineRule="auto"/>
        <w:jc w:val="center"/>
        <w:rPr>
          <w:rFonts w:ascii="Tahoma" w:cs="Tahoma" w:eastAsia="Tahoma" w:hAnsi="Tahoma"/>
          <w:b w:val="1"/>
        </w:rPr>
      </w:pPr>
      <w:r w:rsidDel="00000000" w:rsidR="00000000" w:rsidRPr="00000000">
        <w:rPr>
          <w:rFonts w:ascii="Tahoma" w:cs="Tahoma" w:eastAsia="Tahoma" w:hAnsi="Tahoma"/>
          <w:b w:val="1"/>
          <w:rtl w:val="0"/>
        </w:rPr>
        <w:t xml:space="preserve">November 16, 2011</w:t>
      </w:r>
    </w:p>
    <w:p w:rsidR="00000000" w:rsidDel="00000000" w:rsidP="00000000" w:rsidRDefault="00000000" w:rsidRPr="00000000" w14:paraId="00000147">
      <w:pPr>
        <w:spacing w:after="200" w:line="276" w:lineRule="auto"/>
        <w:jc w:val="center"/>
        <w:rPr>
          <w:rFonts w:ascii="Tahoma" w:cs="Tahoma" w:eastAsia="Tahoma" w:hAnsi="Tahoma"/>
          <w:i w:val="1"/>
        </w:rPr>
      </w:pPr>
      <w:r w:rsidDel="00000000" w:rsidR="00000000" w:rsidRPr="00000000">
        <w:rPr>
          <w:rFonts w:ascii="Book Antiqua" w:cs="Book Antiqua" w:eastAsia="Book Antiqua" w:hAnsi="Book Antiqua"/>
          <w:i w:val="1"/>
          <w:rtl w:val="0"/>
        </w:rPr>
        <w:t xml:space="preserve">  </w:t>
      </w:r>
      <w:r w:rsidDel="00000000" w:rsidR="00000000" w:rsidRPr="00000000">
        <w:rPr>
          <w:rFonts w:ascii="Tahoma" w:cs="Tahoma" w:eastAsia="Tahoma" w:hAnsi="Tahoma"/>
          <w:i w:val="1"/>
          <w:rtl w:val="0"/>
        </w:rPr>
        <w:t xml:space="preserve">Version-1</w:t>
      </w:r>
      <w:r w:rsidDel="00000000" w:rsidR="00000000" w:rsidRPr="00000000">
        <w:rPr>
          <w:rFonts w:ascii="Tahoma" w:cs="Tahoma" w:eastAsia="Tahoma" w:hAnsi="Tahoma"/>
          <w:b w:val="1"/>
          <w:i w:val="1"/>
          <w:rtl w:val="0"/>
        </w:rPr>
        <w:t xml:space="preserve">.</w:t>
      </w:r>
      <w:r w:rsidDel="00000000" w:rsidR="00000000" w:rsidRPr="00000000">
        <w:rPr>
          <w:rFonts w:ascii="Tahoma" w:cs="Tahoma" w:eastAsia="Tahoma" w:hAnsi="Tahoma"/>
          <w:i w:val="1"/>
          <w:rtl w:val="0"/>
        </w:rPr>
        <w:t xml:space="preserve">0</w:t>
      </w:r>
    </w:p>
    <w:p w:rsidR="00000000" w:rsidDel="00000000" w:rsidP="00000000" w:rsidRDefault="00000000" w:rsidRPr="00000000" w14:paraId="00000148">
      <w:pPr>
        <w:spacing w:after="200" w:line="276" w:lineRule="auto"/>
        <w:jc w:val="center"/>
        <w:rPr>
          <w:rFonts w:ascii="Calibri" w:cs="Calibri" w:eastAsia="Calibri" w:hAnsi="Calibri"/>
          <w:b w:val="1"/>
          <w:sz w:val="28"/>
          <w:szCs w:val="28"/>
        </w:rPr>
      </w:pPr>
      <w:r w:rsidDel="00000000" w:rsidR="00000000" w:rsidRPr="00000000">
        <w:br w:type="page"/>
      </w:r>
      <w:r w:rsidDel="00000000" w:rsidR="00000000" w:rsidRPr="00000000">
        <w:rPr>
          <w:rFonts w:ascii="Calibri" w:cs="Calibri" w:eastAsia="Calibri" w:hAnsi="Calibri"/>
          <w:b w:val="1"/>
          <w:sz w:val="28"/>
          <w:szCs w:val="28"/>
          <w:rtl w:val="0"/>
        </w:rPr>
        <w:t xml:space="preserve">Document Change Log</w:t>
      </w:r>
    </w:p>
    <w:p w:rsidR="00000000" w:rsidDel="00000000" w:rsidP="00000000" w:rsidRDefault="00000000" w:rsidRPr="00000000" w14:paraId="00000149">
      <w:pPr>
        <w:spacing w:after="200" w:line="276" w:lineRule="auto"/>
        <w:jc w:val="center"/>
        <w:rPr>
          <w:rFonts w:ascii="Calibri" w:cs="Calibri" w:eastAsia="Calibri" w:hAnsi="Calibri"/>
          <w:b w:val="1"/>
          <w:sz w:val="32"/>
          <w:szCs w:val="32"/>
        </w:rPr>
      </w:pPr>
      <w:r w:rsidDel="00000000" w:rsidR="00000000" w:rsidRPr="00000000">
        <w:rPr>
          <w:rtl w:val="0"/>
        </w:rPr>
      </w:r>
    </w:p>
    <w:tbl>
      <w:tblPr>
        <w:tblStyle w:val="Table12"/>
        <w:tblW w:w="10376.0" w:type="dxa"/>
        <w:jc w:val="center"/>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000"/>
      </w:tblPr>
      <w:tblGrid>
        <w:gridCol w:w="2204"/>
        <w:gridCol w:w="1212"/>
        <w:gridCol w:w="1498"/>
        <w:gridCol w:w="3236"/>
        <w:gridCol w:w="2226"/>
        <w:tblGridChange w:id="0">
          <w:tblGrid>
            <w:gridCol w:w="2204"/>
            <w:gridCol w:w="1212"/>
            <w:gridCol w:w="1498"/>
            <w:gridCol w:w="3236"/>
            <w:gridCol w:w="2226"/>
          </w:tblGrid>
        </w:tblGridChange>
      </w:tblGrid>
      <w:tr>
        <w:tc>
          <w:tcPr>
            <w:gridSpan w:val="5"/>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4A">
            <w:pPr>
              <w:keepNext w:val="1"/>
              <w:spacing w:after="120" w:before="240" w:line="240" w:lineRule="auto"/>
              <w:jc w:val="center"/>
              <w:rPr>
                <w:rFonts w:ascii="Tahoma" w:cs="Tahoma" w:eastAsia="Tahoma" w:hAnsi="Tahoma"/>
                <w:b w:val="1"/>
                <w:i w:val="1"/>
                <w:sz w:val="20"/>
                <w:szCs w:val="20"/>
              </w:rPr>
            </w:pPr>
            <w:r w:rsidDel="00000000" w:rsidR="00000000" w:rsidRPr="00000000">
              <w:rPr>
                <w:rFonts w:ascii="Tahoma" w:cs="Tahoma" w:eastAsia="Tahoma" w:hAnsi="Tahoma"/>
                <w:b w:val="1"/>
                <w:i w:val="1"/>
                <w:sz w:val="20"/>
                <w:szCs w:val="20"/>
                <w:rtl w:val="0"/>
              </w:rPr>
              <w:t xml:space="preserve">HMS  Processing Standard Operating Procedures Change Log</w:t>
            </w:r>
          </w:p>
        </w:tc>
      </w:tr>
      <w:tr>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4F">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Version</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50">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Date of Change</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51">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Sections Impacted </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52">
            <w:pPr>
              <w:tabs>
                <w:tab w:val="left" w:pos="576"/>
              </w:tabs>
              <w:spacing w:after="120" w:before="120" w:line="240" w:lineRule="auto"/>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Summary of Changes</w:t>
            </w:r>
          </w:p>
        </w:tc>
        <w:tc>
          <w:tcPr>
            <w:tcBorders>
              <w:top w:color="000000" w:space="0" w:sz="6" w:val="single"/>
              <w:left w:color="000000" w:space="0" w:sz="6" w:val="single"/>
              <w:bottom w:color="000000" w:space="0" w:sz="6" w:val="single"/>
              <w:right w:color="000000" w:space="0" w:sz="6" w:val="single"/>
            </w:tcBorders>
            <w:shd w:fill="e6e6e6" w:val="clear"/>
          </w:tcPr>
          <w:p w:rsidR="00000000" w:rsidDel="00000000" w:rsidP="00000000" w:rsidRDefault="00000000" w:rsidRPr="00000000" w14:paraId="00000153">
            <w:pPr>
              <w:tabs>
                <w:tab w:val="left" w:pos="576"/>
              </w:tabs>
              <w:spacing w:after="120" w:before="120" w:line="240" w:lineRule="auto"/>
              <w:ind w:right="297"/>
              <w:jc w:val="center"/>
              <w:rPr>
                <w:rFonts w:ascii="Tahoma" w:cs="Tahoma" w:eastAsia="Tahoma" w:hAnsi="Tahoma"/>
                <w:b w:val="1"/>
                <w:sz w:val="20"/>
                <w:szCs w:val="20"/>
              </w:rPr>
            </w:pPr>
            <w:r w:rsidDel="00000000" w:rsidR="00000000" w:rsidRPr="00000000">
              <w:rPr>
                <w:rFonts w:ascii="Tahoma" w:cs="Tahoma" w:eastAsia="Tahoma" w:hAnsi="Tahoma"/>
                <w:b w:val="1"/>
                <w:sz w:val="20"/>
                <w:szCs w:val="20"/>
                <w:rtl w:val="0"/>
              </w:rPr>
              <w:t xml:space="preserve">Changed by</w:t>
            </w:r>
          </w:p>
        </w:tc>
      </w:tr>
      <w:tr>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54">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55">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56">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57">
            <w:pPr>
              <w:tabs>
                <w:tab w:val="left" w:pos="576"/>
              </w:tabs>
              <w:spacing w:after="120" w:before="120" w:line="240" w:lineRule="auto"/>
              <w:rPr>
                <w:rFonts w:ascii="Tahoma" w:cs="Tahoma" w:eastAsia="Tahoma" w:hAnsi="Tahoma"/>
                <w:sz w:val="20"/>
                <w:szCs w:val="2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58">
            <w:pPr>
              <w:numPr>
                <w:ilvl w:val="0"/>
                <w:numId w:val="15"/>
              </w:numPr>
              <w:spacing w:line="240" w:lineRule="auto"/>
              <w:ind w:left="720" w:hanging="360"/>
            </w:pPr>
            <w:r w:rsidDel="00000000" w:rsidR="00000000" w:rsidRPr="00000000">
              <w:rPr>
                <w:rtl w:val="0"/>
              </w:rPr>
            </w:r>
          </w:p>
        </w:tc>
      </w:tr>
    </w:tbl>
    <w:p w:rsidR="00000000" w:rsidDel="00000000" w:rsidP="00000000" w:rsidRDefault="00000000" w:rsidRPr="00000000" w14:paraId="00000159">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A">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B">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C">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D">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E">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5F">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0">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1">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2">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3">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4">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5">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6">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7">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8">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9">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A">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B">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6C">
      <w:pPr>
        <w:spacing w:after="200" w:line="276"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HMS Relocation Type – Transfer</w:t>
      </w:r>
    </w:p>
    <w:p w:rsidR="00000000" w:rsidDel="00000000" w:rsidP="00000000" w:rsidRDefault="00000000" w:rsidRPr="00000000" w14:paraId="0000016D">
      <w:pPr>
        <w:spacing w:after="200" w:line="276" w:lineRule="auto"/>
        <w:jc w:val="cente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16E">
      <w:pPr>
        <w:spacing w:after="200" w:line="276"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The Transfer relocation type in HMS documents the transfer of physical and legal custody of records from one NARA unit to another.  Transfer is different from the relocation type Move, which documents a significant move of records, not custody.  The Originating Archival Unit will create the Relocation, and the Destination will ultimately accept and close it.</w:t>
      </w:r>
    </w:p>
    <w:p w:rsidR="00000000" w:rsidDel="00000000" w:rsidP="00000000" w:rsidRDefault="00000000" w:rsidRPr="00000000" w14:paraId="0000016F">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HMS Steps</w:t>
      </w:r>
    </w:p>
    <w:p w:rsidR="00000000" w:rsidDel="00000000" w:rsidP="00000000" w:rsidRDefault="00000000" w:rsidRPr="00000000" w14:paraId="00000170">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w:t>
      </w:r>
    </w:p>
    <w:p w:rsidR="00000000" w:rsidDel="00000000" w:rsidP="00000000" w:rsidRDefault="00000000" w:rsidRPr="00000000" w14:paraId="00000171">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Relocation tab.</w:t>
      </w:r>
    </w:p>
    <w:p w:rsidR="00000000" w:rsidDel="00000000" w:rsidP="00000000" w:rsidRDefault="00000000" w:rsidRPr="00000000" w14:paraId="00000172">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Move as Relocation type.</w:t>
      </w:r>
    </w:p>
    <w:p w:rsidR="00000000" w:rsidDel="00000000" w:rsidP="00000000" w:rsidRDefault="00000000" w:rsidRPr="00000000" w14:paraId="00000173">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appropriate Record Group number.</w:t>
      </w:r>
    </w:p>
    <w:p w:rsidR="00000000" w:rsidDel="00000000" w:rsidP="00000000" w:rsidRDefault="00000000" w:rsidRPr="00000000" w14:paraId="00000174">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 will default to user unit.</w:t>
      </w:r>
    </w:p>
    <w:p w:rsidR="00000000" w:rsidDel="00000000" w:rsidP="00000000" w:rsidRDefault="00000000" w:rsidRPr="00000000" w14:paraId="00000175">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Destination Archival Unit.</w:t>
      </w:r>
    </w:p>
    <w:p w:rsidR="00000000" w:rsidDel="00000000" w:rsidP="00000000" w:rsidRDefault="00000000" w:rsidRPr="00000000" w14:paraId="00000176">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Query for and select the Record Entry that assets will be transferred from.</w:t>
      </w:r>
    </w:p>
    <w:p w:rsidR="00000000" w:rsidDel="00000000" w:rsidP="00000000" w:rsidRDefault="00000000" w:rsidRPr="00000000" w14:paraId="00000177">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Fill out other fields as necessary.</w:t>
      </w:r>
    </w:p>
    <w:p w:rsidR="00000000" w:rsidDel="00000000" w:rsidP="00000000" w:rsidRDefault="00000000" w:rsidRPr="00000000" w14:paraId="00000178">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Navigate to Assets tab.</w:t>
      </w:r>
    </w:p>
    <w:p w:rsidR="00000000" w:rsidDel="00000000" w:rsidP="00000000" w:rsidRDefault="00000000" w:rsidRPr="00000000" w14:paraId="00000179">
      <w:pPr>
        <w:numPr>
          <w:ilvl w:val="0"/>
          <w:numId w:val="14"/>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assets that will be moved.  If all assets are being moved, hit Add All Assets. If individual assets are being moved, you can either click Add next to that asset, or highlight the assets and click Add Selected Assets.</w:t>
      </w:r>
    </w:p>
    <w:p w:rsidR="00000000" w:rsidDel="00000000" w:rsidP="00000000" w:rsidRDefault="00000000" w:rsidRPr="00000000" w14:paraId="0000017A">
      <w:pPr>
        <w:numPr>
          <w:ilvl w:val="0"/>
          <w:numId w:val="14"/>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Change Status to Pending Approval.</w:t>
      </w:r>
    </w:p>
    <w:p w:rsidR="00000000" w:rsidDel="00000000" w:rsidP="00000000" w:rsidRDefault="00000000" w:rsidRPr="00000000" w14:paraId="0000017B">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Destination Archival Unit</w:t>
      </w:r>
    </w:p>
    <w:p w:rsidR="00000000" w:rsidDel="00000000" w:rsidP="00000000" w:rsidRDefault="00000000" w:rsidRPr="00000000" w14:paraId="0000017C">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the Status has been changed to Pending Approval, the Destination Archival Unit will see the Process Relocation link next to the Request Relocation link. Clicking this link will bring you to the set of relocations generated from other units.</w:t>
      </w:r>
    </w:p>
    <w:p w:rsidR="00000000" w:rsidDel="00000000" w:rsidP="00000000" w:rsidRDefault="00000000" w:rsidRPr="00000000" w14:paraId="0000017D">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Choose the appropriate Relocation.</w:t>
      </w:r>
    </w:p>
    <w:p w:rsidR="00000000" w:rsidDel="00000000" w:rsidP="00000000" w:rsidRDefault="00000000" w:rsidRPr="00000000" w14:paraId="0000017E">
      <w:pPr>
        <w:numPr>
          <w:ilvl w:val="0"/>
          <w:numId w:val="3"/>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Change Status to Approved. </w:t>
      </w:r>
    </w:p>
    <w:p w:rsidR="00000000" w:rsidDel="00000000" w:rsidP="00000000" w:rsidRDefault="00000000" w:rsidRPr="00000000" w14:paraId="0000017F">
      <w:pPr>
        <w:numPr>
          <w:ilvl w:val="1"/>
          <w:numId w:val="3"/>
        </w:numPr>
        <w:spacing w:after="200" w:line="276"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If the Transfer is rejected, change Status to Denied.  This will close the Relocation, and the transfer will end.</w:t>
      </w:r>
    </w:p>
    <w:p w:rsidR="00000000" w:rsidDel="00000000" w:rsidP="00000000" w:rsidRDefault="00000000" w:rsidRPr="00000000" w14:paraId="00000180">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Originating Archival Unit.</w:t>
      </w:r>
    </w:p>
    <w:p w:rsidR="00000000" w:rsidDel="00000000" w:rsidP="00000000" w:rsidRDefault="00000000" w:rsidRPr="00000000" w14:paraId="00000181">
      <w:pPr>
        <w:numPr>
          <w:ilvl w:val="0"/>
          <w:numId w:val="11"/>
        </w:numPr>
        <w:spacing w:after="200"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Once the Status has been changed to Approved, the Originating Archival Unit changes Status to Shipped.   There are no further actions needed from the Originating Archival Unit.</w:t>
      </w:r>
    </w:p>
    <w:p w:rsidR="00000000" w:rsidDel="00000000" w:rsidP="00000000" w:rsidRDefault="00000000" w:rsidRPr="00000000" w14:paraId="00000182">
      <w:pPr>
        <w:spacing w:after="20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3">
      <w:pPr>
        <w:spacing w:after="200" w:line="276"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Destination Archival Unit</w:t>
      </w:r>
    </w:p>
    <w:p w:rsidR="00000000" w:rsidDel="00000000" w:rsidP="00000000" w:rsidRDefault="00000000" w:rsidRPr="00000000" w14:paraId="00000184">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 the Process Relocation link field, change Status to Records Received.  </w:t>
      </w:r>
    </w:p>
    <w:p w:rsidR="00000000" w:rsidDel="00000000" w:rsidP="00000000" w:rsidRDefault="00000000" w:rsidRPr="00000000" w14:paraId="00000185">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Under the New Record Entry Name, choose the appropriate series the assets will become a part of.  Finding Aid # and Record Entry # will be filled in automatically. </w:t>
      </w:r>
    </w:p>
    <w:p w:rsidR="00000000" w:rsidDel="00000000" w:rsidP="00000000" w:rsidRDefault="00000000" w:rsidRPr="00000000" w14:paraId="00000186">
      <w:pPr>
        <w:numPr>
          <w:ilvl w:val="0"/>
          <w:numId w:val="8"/>
        </w:numPr>
        <w:spacing w:line="276"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Change Status to Closed. The assets have been transferred to another unit and the Relocation is complete.</w:t>
      </w:r>
    </w:p>
    <w:p w:rsidR="00000000" w:rsidDel="00000000" w:rsidP="00000000" w:rsidRDefault="00000000" w:rsidRPr="00000000" w14:paraId="00000187">
      <w:pPr>
        <w:spacing w:after="200" w:line="276" w:lineRule="auto"/>
        <w:ind w:lef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88">
      <w:pPr>
        <w:spacing w:after="200" w:line="276" w:lineRule="auto"/>
        <w:rPr>
          <w:rFonts w:ascii="Times New Roman" w:cs="Times New Roman" w:eastAsia="Times New Roman" w:hAnsi="Times New Roman"/>
          <w:sz w:val="24"/>
          <w:szCs w:val="24"/>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Verdana"/>
  <w:font w:name="Times New Roman"/>
  <w:font w:name="Courier New"/>
  <w:font w:name="Tahoma">
    <w:embedRegular w:fontKey="{00000000-0000-0000-0000-000000000000}" r:id="rId1" w:subsetted="0"/>
    <w:embedBold w:fontKey="{00000000-0000-0000-0000-000000000000}" r:id="rId2" w:subsetted="0"/>
  </w:font>
  <w:font w:name="Book Antiqua">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Calibri" w:cs="Calibri" w:eastAsia="Calibri" w:hAnsi="Calibri"/>
        <w:b w:val="1"/>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720" w:hanging="360"/>
      </w:pPr>
      <w:rPr>
        <w:rFonts w:ascii="Noto Sans Symbols" w:cs="Noto Sans Symbols" w:eastAsia="Noto Sans Symbols" w:hAnsi="Noto Sans Symbols"/>
        <w:sz w:val="18"/>
        <w:szCs w:val="18"/>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 w:type="table" w:styleId="Table11">
    <w:basedOn w:val="TableNormal"/>
    <w:tblPr>
      <w:tblStyleRowBandSize w:val="1"/>
      <w:tblStyleColBandSize w:val="1"/>
      <w:tblCellMar>
        <w:top w:w="0.0" w:type="dxa"/>
        <w:left w:w="115.0" w:type="dxa"/>
        <w:bottom w:w="0.0" w:type="dxa"/>
        <w:right w:w="115.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image" Target="media/image2.png"/><Relationship Id="rId10" Type="http://schemas.openxmlformats.org/officeDocument/2006/relationships/image" Target="media/image3.png"/><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image" Target="media/image6.png"/><Relationship Id="rId7" Type="http://schemas.openxmlformats.org/officeDocument/2006/relationships/image" Target="media/image4.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Tahoma-regular.ttf"/><Relationship Id="rId2" Type="http://schemas.openxmlformats.org/officeDocument/2006/relationships/font" Target="fonts/Tahoma-bold.ttf"/><Relationship Id="rId3" Type="http://schemas.openxmlformats.org/officeDocument/2006/relationships/font" Target="fonts/BookAntiqua-regular.ttf"/><Relationship Id="rId4" Type="http://schemas.openxmlformats.org/officeDocument/2006/relationships/font" Target="fonts/BookAntiqua-bold.ttf"/><Relationship Id="rId5" Type="http://schemas.openxmlformats.org/officeDocument/2006/relationships/font" Target="fonts/BookAntiqua-italic.ttf"/><Relationship Id="rId6" Type="http://schemas.openxmlformats.org/officeDocument/2006/relationships/font" Target="fonts/BookAntiqu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