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spacing w:after="0" w:before="0" w:lineRule="auto"/>
        <w:jc w:val="left"/>
        <w:rPr>
          <w:rFonts w:ascii="Cambria" w:cs="Cambria" w:eastAsia="Cambria" w:hAnsi="Cambria"/>
          <w:smallCaps w:val="1"/>
          <w:color w:val="17365d"/>
          <w:sz w:val="56"/>
          <w:szCs w:val="56"/>
        </w:rPr>
      </w:pPr>
      <w:bookmarkStart w:colFirst="0" w:colLast="0" w:name="_gjdgxs" w:id="0"/>
      <w:bookmarkEnd w:id="0"/>
      <w:r w:rsidDel="00000000" w:rsidR="00000000" w:rsidRPr="00000000">
        <w:rPr>
          <w:rtl w:val="0"/>
        </w:rPr>
      </w:r>
    </w:p>
    <w:p w:rsidR="00000000" w:rsidDel="00000000" w:rsidP="00000000" w:rsidRDefault="00000000" w:rsidRPr="00000000" w14:paraId="00000002">
      <w:pPr>
        <w:pStyle w:val="Title"/>
        <w:spacing w:after="0" w:before="0" w:lineRule="auto"/>
        <w:jc w:val="left"/>
        <w:rPr>
          <w:rFonts w:ascii="Cambria" w:cs="Cambria" w:eastAsia="Cambria" w:hAnsi="Cambria"/>
          <w:smallCaps w:val="1"/>
          <w:color w:val="17365d"/>
          <w:sz w:val="56"/>
          <w:szCs w:val="56"/>
        </w:rPr>
      </w:pPr>
      <w:r w:rsidDel="00000000" w:rsidR="00000000" w:rsidRPr="00000000">
        <w:rPr>
          <w:rtl w:val="0"/>
        </w:rPr>
      </w:r>
    </w:p>
    <w:p w:rsidR="00000000" w:rsidDel="00000000" w:rsidP="00000000" w:rsidRDefault="00000000" w:rsidRPr="00000000" w14:paraId="00000003">
      <w:pPr>
        <w:pStyle w:val="Title"/>
        <w:spacing w:after="0" w:before="0" w:lineRule="auto"/>
        <w:jc w:val="left"/>
        <w:rPr>
          <w:rFonts w:ascii="Cambria" w:cs="Cambria" w:eastAsia="Cambria" w:hAnsi="Cambria"/>
          <w:smallCaps w:val="1"/>
          <w:color w:val="17365d"/>
          <w:sz w:val="56"/>
          <w:szCs w:val="56"/>
        </w:rPr>
      </w:pPr>
      <w:r w:rsidDel="00000000" w:rsidR="00000000" w:rsidRPr="00000000">
        <w:rPr>
          <w:rtl w:val="0"/>
        </w:rPr>
      </w:r>
    </w:p>
    <w:p w:rsidR="00000000" w:rsidDel="00000000" w:rsidP="00000000" w:rsidRDefault="00000000" w:rsidRPr="00000000" w14:paraId="00000004">
      <w:pPr>
        <w:pStyle w:val="Title"/>
        <w:spacing w:after="0" w:before="0" w:lineRule="auto"/>
        <w:jc w:val="center"/>
        <w:rPr>
          <w:rFonts w:ascii="Cambria" w:cs="Cambria" w:eastAsia="Cambria" w:hAnsi="Cambria"/>
          <w:smallCaps w:val="1"/>
          <w:color w:val="17365d"/>
          <w:sz w:val="56"/>
          <w:szCs w:val="56"/>
        </w:rPr>
      </w:pPr>
      <w:r w:rsidDel="00000000" w:rsidR="00000000" w:rsidRPr="00000000">
        <w:rPr>
          <w:rFonts w:ascii="Cambria" w:cs="Cambria" w:eastAsia="Cambria" w:hAnsi="Cambria"/>
          <w:smallCaps w:val="1"/>
          <w:color w:val="17365d"/>
          <w:sz w:val="56"/>
          <w:szCs w:val="56"/>
          <w:rtl w:val="0"/>
        </w:rPr>
        <w:t xml:space="preserve">Stakeholder Requirements Specification </w:t>
        <w:br w:type="textWrapping"/>
        <w:t xml:space="preserve">(StRS)</w:t>
      </w:r>
    </w:p>
    <w:p w:rsidR="00000000" w:rsidDel="00000000" w:rsidP="00000000" w:rsidRDefault="00000000" w:rsidRPr="00000000" w14:paraId="00000005">
      <w:pPr>
        <w:pStyle w:val="Title"/>
        <w:spacing w:after="0" w:before="0" w:lineRule="auto"/>
        <w:jc w:val="left"/>
        <w:rPr>
          <w:rFonts w:ascii="Cambria" w:cs="Cambria" w:eastAsia="Cambria" w:hAnsi="Cambria"/>
          <w:smallCaps w:val="1"/>
          <w:color w:val="17365d"/>
          <w:sz w:val="56"/>
          <w:szCs w:val="56"/>
        </w:rPr>
      </w:pPr>
      <w:r w:rsidDel="00000000" w:rsidR="00000000" w:rsidRPr="00000000">
        <w:rPr>
          <w:rtl w:val="0"/>
        </w:rPr>
      </w:r>
    </w:p>
    <w:p w:rsidR="00000000" w:rsidDel="00000000" w:rsidP="00000000" w:rsidRDefault="00000000" w:rsidRPr="00000000" w14:paraId="00000006">
      <w:pPr>
        <w:pStyle w:val="Title"/>
        <w:spacing w:after="0" w:before="0" w:lineRule="auto"/>
        <w:jc w:val="left"/>
        <w:rPr>
          <w:rFonts w:ascii="Cambria" w:cs="Cambria" w:eastAsia="Cambria" w:hAnsi="Cambria"/>
          <w:smallCaps w:val="1"/>
          <w:color w:val="17365d"/>
          <w:sz w:val="56"/>
          <w:szCs w:val="56"/>
        </w:rPr>
      </w:pPr>
      <w:r w:rsidDel="00000000" w:rsidR="00000000" w:rsidRPr="00000000">
        <w:rPr>
          <w:rtl w:val="0"/>
        </w:rPr>
      </w:r>
    </w:p>
    <w:p w:rsidR="00000000" w:rsidDel="00000000" w:rsidP="00000000" w:rsidRDefault="00000000" w:rsidRPr="00000000" w14:paraId="00000007">
      <w:pPr>
        <w:pStyle w:val="Title"/>
        <w:spacing w:after="0" w:before="0" w:lineRule="auto"/>
        <w:jc w:val="center"/>
        <w:rPr>
          <w:rFonts w:ascii="Cambria" w:cs="Cambria" w:eastAsia="Cambria" w:hAnsi="Cambria"/>
          <w:smallCaps w:val="1"/>
          <w:color w:val="17365d"/>
          <w:sz w:val="56"/>
          <w:szCs w:val="56"/>
        </w:rPr>
      </w:pPr>
      <w:r w:rsidDel="00000000" w:rsidR="00000000" w:rsidRPr="00000000">
        <w:rPr>
          <w:rFonts w:ascii="Cambria" w:cs="Cambria" w:eastAsia="Cambria" w:hAnsi="Cambria"/>
          <w:smallCaps w:val="1"/>
          <w:color w:val="17365d"/>
          <w:sz w:val="56"/>
          <w:szCs w:val="56"/>
          <w:rtl w:val="0"/>
        </w:rPr>
        <w:t xml:space="preserve">Performance Measurement and Reporting System (PMRS) 2.0</w:t>
      </w:r>
    </w:p>
    <w:p w:rsidR="00000000" w:rsidDel="00000000" w:rsidP="00000000" w:rsidRDefault="00000000" w:rsidRPr="00000000" w14:paraId="00000008">
      <w:pPr>
        <w:pStyle w:val="Title"/>
        <w:spacing w:after="0" w:before="0" w:lineRule="auto"/>
        <w:jc w:val="left"/>
        <w:rPr>
          <w:rFonts w:ascii="Cambria" w:cs="Cambria" w:eastAsia="Cambria" w:hAnsi="Cambria"/>
          <w:smallCaps w:val="1"/>
          <w:color w:val="17365d"/>
          <w:sz w:val="56"/>
          <w:szCs w:val="56"/>
        </w:rPr>
      </w:pPr>
      <w:r w:rsidDel="00000000" w:rsidR="00000000" w:rsidRPr="00000000">
        <w:rPr>
          <w:rtl w:val="0"/>
        </w:rPr>
      </w:r>
    </w:p>
    <w:p w:rsidR="00000000" w:rsidDel="00000000" w:rsidP="00000000" w:rsidRDefault="00000000" w:rsidRPr="00000000" w14:paraId="00000009">
      <w:pPr>
        <w:pStyle w:val="Title"/>
        <w:spacing w:after="0" w:before="0" w:lineRule="auto"/>
        <w:jc w:val="left"/>
        <w:rPr>
          <w:rFonts w:ascii="Cambria" w:cs="Cambria" w:eastAsia="Cambria" w:hAnsi="Cambria"/>
          <w:smallCaps w:val="1"/>
          <w:color w:val="17365d"/>
          <w:sz w:val="56"/>
          <w:szCs w:val="56"/>
        </w:rPr>
      </w:pPr>
      <w:r w:rsidDel="00000000" w:rsidR="00000000" w:rsidRPr="00000000">
        <w:rPr>
          <w:rtl w:val="0"/>
        </w:rPr>
      </w:r>
    </w:p>
    <w:p w:rsidR="00000000" w:rsidDel="00000000" w:rsidP="00000000" w:rsidRDefault="00000000" w:rsidRPr="00000000" w14:paraId="0000000A">
      <w:pPr>
        <w:pStyle w:val="Title"/>
        <w:spacing w:after="0" w:before="0" w:lineRule="auto"/>
        <w:jc w:val="left"/>
        <w:rPr>
          <w:rFonts w:ascii="Cambria" w:cs="Cambria" w:eastAsia="Cambria" w:hAnsi="Cambria"/>
          <w:smallCaps w:val="1"/>
          <w:color w:val="17365d"/>
          <w:sz w:val="56"/>
          <w:szCs w:val="56"/>
        </w:rPr>
      </w:pPr>
      <w:r w:rsidDel="00000000" w:rsidR="00000000" w:rsidRPr="00000000">
        <w:rPr>
          <w:rtl w:val="0"/>
        </w:rPr>
      </w:r>
    </w:p>
    <w:p w:rsidR="00000000" w:rsidDel="00000000" w:rsidP="00000000" w:rsidRDefault="00000000" w:rsidRPr="00000000" w14:paraId="0000000B">
      <w:pPr>
        <w:pStyle w:val="Title"/>
        <w:spacing w:after="0" w:before="0" w:lineRule="auto"/>
        <w:jc w:val="left"/>
        <w:rPr>
          <w:rFonts w:ascii="Cambria" w:cs="Cambria" w:eastAsia="Cambria" w:hAnsi="Cambria"/>
          <w:smallCaps w:val="1"/>
          <w:color w:val="17365d"/>
          <w:sz w:val="56"/>
          <w:szCs w:val="56"/>
        </w:rPr>
      </w:pPr>
      <w:r w:rsidDel="00000000" w:rsidR="00000000" w:rsidRPr="00000000">
        <w:rPr>
          <w:rtl w:val="0"/>
        </w:rPr>
      </w:r>
    </w:p>
    <w:p w:rsidR="00000000" w:rsidDel="00000000" w:rsidP="00000000" w:rsidRDefault="00000000" w:rsidRPr="00000000" w14:paraId="0000000C">
      <w:pPr>
        <w:pStyle w:val="Title"/>
        <w:spacing w:after="0" w:before="0" w:lineRule="auto"/>
        <w:jc w:val="left"/>
        <w:rPr>
          <w:rFonts w:ascii="Cambria" w:cs="Cambria" w:eastAsia="Cambria" w:hAnsi="Cambria"/>
          <w:smallCaps w:val="1"/>
          <w:color w:val="17365d"/>
          <w:sz w:val="56"/>
          <w:szCs w:val="56"/>
        </w:rPr>
      </w:pPr>
      <w:r w:rsidDel="00000000" w:rsidR="00000000" w:rsidRPr="00000000">
        <w:rPr>
          <w:rtl w:val="0"/>
        </w:rPr>
      </w:r>
    </w:p>
    <w:p w:rsidR="00000000" w:rsidDel="00000000" w:rsidP="00000000" w:rsidRDefault="00000000" w:rsidRPr="00000000" w14:paraId="0000000D">
      <w:pPr>
        <w:pStyle w:val="Title"/>
        <w:spacing w:after="0" w:before="0" w:lineRule="auto"/>
        <w:jc w:val="left"/>
        <w:rPr>
          <w:rFonts w:ascii="Cambria" w:cs="Cambria" w:eastAsia="Cambria" w:hAnsi="Cambria"/>
          <w:smallCaps w:val="1"/>
          <w:color w:val="17365d"/>
          <w:sz w:val="56"/>
          <w:szCs w:val="56"/>
        </w:rPr>
      </w:pPr>
      <w:r w:rsidDel="00000000" w:rsidR="00000000" w:rsidRPr="00000000">
        <w:rPr>
          <w:rtl w:val="0"/>
        </w:rPr>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Version 1.1 FINAL</w:t>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Prepared by the Requirements Management Division (IR)</w:t>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May 23, 2018</w:t>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sectPr>
          <w:headerReference r:id="rId7" w:type="default"/>
          <w:headerReference r:id="rId8" w:type="first"/>
          <w:headerReference r:id="rId9" w:type="even"/>
          <w:footerReference r:id="rId10" w:type="default"/>
          <w:footerReference r:id="rId11" w:type="first"/>
          <w:footerReference r:id="rId12" w:type="even"/>
          <w:pgSz w:h="15840" w:w="12240"/>
          <w:pgMar w:bottom="1440" w:top="1944" w:left="1440" w:right="1440" w:header="547" w:footer="720"/>
          <w:pgNumType w:start="1"/>
        </w:sectPr>
      </w:pPr>
      <w:r w:rsidDel="00000000" w:rsidR="00000000" w:rsidRPr="00000000">
        <w:br w:type="page"/>
      </w:r>
      <w:r w:rsidDel="00000000" w:rsidR="00000000" w:rsidRPr="00000000">
        <w:rPr>
          <w:rtl w:val="0"/>
        </w:rPr>
      </w:r>
    </w:p>
    <w:p w:rsidR="00000000" w:rsidDel="00000000" w:rsidP="00000000" w:rsidRDefault="00000000" w:rsidRPr="00000000" w14:paraId="00000014">
      <w:pPr>
        <w:keepNext w:val="1"/>
        <w:keepLines w:val="1"/>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left"/>
        <w:rPr>
          <w:rFonts w:ascii="Cambria" w:cs="Cambria" w:eastAsia="Cambria" w:hAnsi="Cambria"/>
          <w:b w:val="1"/>
          <w:i w:val="0"/>
          <w:smallCaps w:val="0"/>
          <w:strike w:val="0"/>
          <w:color w:val="4f81bc"/>
          <w:sz w:val="28"/>
          <w:szCs w:val="28"/>
          <w:u w:val="none"/>
          <w:shd w:fill="auto" w:val="clear"/>
          <w:vertAlign w:val="baseline"/>
        </w:rPr>
      </w:pPr>
      <w:bookmarkStart w:colFirst="0" w:colLast="0" w:name="_30j0zll" w:id="1"/>
      <w:bookmarkEnd w:id="1"/>
      <w:r w:rsidDel="00000000" w:rsidR="00000000" w:rsidRPr="00000000">
        <w:rPr>
          <w:rFonts w:ascii="Cambria" w:cs="Cambria" w:eastAsia="Cambria" w:hAnsi="Cambria"/>
          <w:b w:val="1"/>
          <w:i w:val="0"/>
          <w:smallCaps w:val="0"/>
          <w:strike w:val="0"/>
          <w:color w:val="4f81bc"/>
          <w:sz w:val="28"/>
          <w:szCs w:val="28"/>
          <w:u w:val="none"/>
          <w:shd w:fill="auto" w:val="clear"/>
          <w:vertAlign w:val="baseline"/>
          <w:rtl w:val="0"/>
        </w:rPr>
        <w:t xml:space="preserve">Table of Contents</w:t>
      </w:r>
    </w:p>
    <w:sdt>
      <w:sdtPr>
        <w:docPartObj>
          <w:docPartGallery w:val="Table of Contents"/>
          <w:docPartUnique w:val="1"/>
        </w:docPartObj>
      </w:sdtPr>
      <w:sdtContent>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tabs>
              <w:tab w:val="left" w:pos="360"/>
              <w:tab w:val="right" w:pos="9360"/>
            </w:tabs>
            <w:spacing w:after="0" w:before="120" w:line="240" w:lineRule="auto"/>
            <w:ind w:left="36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fldChar w:fldCharType="begin"/>
            <w:instrText xml:space="preserve"> TOC \h \u \z </w:instrText>
            <w:fldChar w:fldCharType="separate"/>
          </w:r>
          <w:hyperlink w:anchor="_3znysh7">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1</w:t>
            </w:r>
          </w:hyperlink>
          <w:hyperlink w:anchor="_3znysh7">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_3znysh7 \h </w:instrText>
            <w:fldChar w:fldCharType="separate"/>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Introduction</w:t>
            <w:tab/>
            <w:t xml:space="preserve">4</w:t>
          </w:r>
          <w:r w:rsidDel="00000000" w:rsidR="00000000" w:rsidRPr="00000000">
            <w:fldChar w:fldCharType="end"/>
          </w:r>
          <w:r w:rsidDel="00000000" w:rsidR="00000000" w:rsidRPr="00000000">
            <w:rPr>
              <w:rtl w:val="0"/>
            </w:rPr>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tabs>
              <w:tab w:val="left" w:pos="880"/>
            </w:tabs>
            <w:spacing w:after="0" w:before="120" w:line="240" w:lineRule="auto"/>
            <w:ind w:left="274" w:right="0" w:hanging="274"/>
            <w:jc w:val="both"/>
            <w:rPr>
              <w:rFonts w:ascii="Calibri" w:cs="Calibri" w:eastAsia="Calibri" w:hAnsi="Calibri"/>
              <w:b w:val="0"/>
              <w:i w:val="0"/>
              <w:smallCaps w:val="0"/>
              <w:strike w:val="0"/>
              <w:color w:val="000000"/>
              <w:sz w:val="22"/>
              <w:szCs w:val="22"/>
              <w:u w:val="none"/>
              <w:shd w:fill="auto" w:val="clear"/>
              <w:vertAlign w:val="baseline"/>
            </w:rPr>
          </w:pPr>
          <w:hyperlink w:anchor="_2et92p0">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1.1</w:t>
              <w:tab/>
              <w:t xml:space="preserve">Purpose</w:t>
              <w:tab/>
              <w:t xml:space="preserve">4</w:t>
            </w:r>
          </w:hyperlink>
          <w:r w:rsidDel="00000000" w:rsidR="00000000" w:rsidRPr="00000000">
            <w:rPr>
              <w:rtl w:val="0"/>
            </w:rPr>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tabs>
              <w:tab w:val="left" w:pos="880"/>
            </w:tabs>
            <w:spacing w:after="0" w:before="120" w:line="240" w:lineRule="auto"/>
            <w:ind w:left="274" w:right="0" w:hanging="274"/>
            <w:jc w:val="both"/>
            <w:rPr>
              <w:rFonts w:ascii="Calibri" w:cs="Calibri" w:eastAsia="Calibri" w:hAnsi="Calibri"/>
              <w:b w:val="0"/>
              <w:i w:val="0"/>
              <w:smallCaps w:val="0"/>
              <w:strike w:val="0"/>
              <w:color w:val="000000"/>
              <w:sz w:val="22"/>
              <w:szCs w:val="22"/>
              <w:u w:val="none"/>
              <w:shd w:fill="auto" w:val="clear"/>
              <w:vertAlign w:val="baseline"/>
            </w:rPr>
          </w:pPr>
          <w:hyperlink w:anchor="_tyjcwt">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1.2</w:t>
              <w:tab/>
              <w:t xml:space="preserve">Scope</w:t>
              <w:tab/>
              <w:t xml:space="preserve">4</w:t>
            </w:r>
          </w:hyperlink>
          <w:r w:rsidDel="00000000" w:rsidR="00000000" w:rsidRPr="00000000">
            <w:rPr>
              <w:rtl w:val="0"/>
            </w:rPr>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tabs>
              <w:tab w:val="left" w:pos="1200"/>
              <w:tab w:val="right" w:pos="9360"/>
            </w:tabs>
            <w:spacing w:after="0" w:before="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3dy6vkm">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1.2.1</w:t>
              <w:tab/>
              <w:t xml:space="preserve">Assumptions</w:t>
              <w:tab/>
              <w:t xml:space="preserve">4</w:t>
            </w:r>
          </w:hyperlink>
          <w:r w:rsidDel="00000000" w:rsidR="00000000" w:rsidRPr="00000000">
            <w:rPr>
              <w:rtl w:val="0"/>
            </w:rPr>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tabs>
              <w:tab w:val="left" w:pos="880"/>
            </w:tabs>
            <w:spacing w:after="0" w:before="120" w:line="240" w:lineRule="auto"/>
            <w:ind w:left="274" w:right="0" w:hanging="274"/>
            <w:jc w:val="both"/>
            <w:rPr>
              <w:rFonts w:ascii="Calibri" w:cs="Calibri" w:eastAsia="Calibri" w:hAnsi="Calibri"/>
              <w:b w:val="0"/>
              <w:i w:val="0"/>
              <w:smallCaps w:val="0"/>
              <w:strike w:val="0"/>
              <w:color w:val="000000"/>
              <w:sz w:val="22"/>
              <w:szCs w:val="22"/>
              <w:u w:val="none"/>
              <w:shd w:fill="auto" w:val="clear"/>
              <w:vertAlign w:val="baseline"/>
            </w:rPr>
          </w:pPr>
          <w:hyperlink w:anchor="_1t3h5sf">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1.3</w:t>
              <w:tab/>
              <w:t xml:space="preserve">References</w:t>
              <w:tab/>
              <w:t xml:space="preserve">4</w:t>
            </w:r>
          </w:hyperlink>
          <w:r w:rsidDel="00000000" w:rsidR="00000000" w:rsidRPr="00000000">
            <w:rPr>
              <w:rtl w:val="0"/>
            </w:rPr>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tabs>
              <w:tab w:val="left" w:pos="1200"/>
              <w:tab w:val="right" w:pos="9360"/>
            </w:tabs>
            <w:spacing w:after="0" w:before="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4d34og8">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1.3.1</w:t>
              <w:tab/>
              <w:t xml:space="preserve">Compliance</w:t>
              <w:tab/>
              <w:t xml:space="preserve">4</w:t>
            </w:r>
          </w:hyperlink>
          <w:r w:rsidDel="00000000" w:rsidR="00000000" w:rsidRPr="00000000">
            <w:rPr>
              <w:rtl w:val="0"/>
            </w:rPr>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tabs>
              <w:tab w:val="left" w:pos="1200"/>
              <w:tab w:val="right" w:pos="9360"/>
            </w:tabs>
            <w:spacing w:after="0" w:before="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2s8eyo1">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1.3.2</w:t>
              <w:tab/>
              <w:t xml:space="preserve">Guidance</w:t>
              <w:tab/>
              <w:t xml:space="preserve">4</w:t>
            </w:r>
          </w:hyperlink>
          <w:r w:rsidDel="00000000" w:rsidR="00000000" w:rsidRPr="00000000">
            <w:rPr>
              <w:rtl w:val="0"/>
            </w:rPr>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tabs>
              <w:tab w:val="left" w:pos="360"/>
              <w:tab w:val="right" w:pos="9360"/>
            </w:tabs>
            <w:spacing w:after="0" w:before="120" w:line="240" w:lineRule="auto"/>
            <w:ind w:left="360" w:right="0" w:hanging="360"/>
            <w:jc w:val="both"/>
            <w:rPr>
              <w:rFonts w:ascii="Calibri" w:cs="Calibri" w:eastAsia="Calibri" w:hAnsi="Calibri"/>
              <w:b w:val="0"/>
              <w:i w:val="0"/>
              <w:smallCaps w:val="0"/>
              <w:strike w:val="0"/>
              <w:color w:val="000000"/>
              <w:sz w:val="22"/>
              <w:szCs w:val="22"/>
              <w:u w:val="none"/>
              <w:shd w:fill="auto" w:val="clear"/>
              <w:vertAlign w:val="baseline"/>
            </w:rPr>
          </w:pPr>
          <w:hyperlink w:anchor="_3rdcrjn">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2</w:t>
            </w:r>
          </w:hyperlink>
          <w:hyperlink w:anchor="_3rdcrjn">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_3rdcrjn \h </w:instrText>
            <w:fldChar w:fldCharType="separate"/>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Business Abstract</w:t>
            <w:tab/>
            <w:t xml:space="preserve">6</w:t>
          </w:r>
          <w:r w:rsidDel="00000000" w:rsidR="00000000" w:rsidRPr="00000000">
            <w:fldChar w:fldCharType="end"/>
          </w:r>
          <w:r w:rsidDel="00000000" w:rsidR="00000000" w:rsidRPr="00000000">
            <w:rPr>
              <w:rtl w:val="0"/>
            </w:rPr>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tabs>
              <w:tab w:val="left" w:pos="880"/>
            </w:tabs>
            <w:spacing w:after="0" w:before="120" w:line="240" w:lineRule="auto"/>
            <w:ind w:left="274" w:right="0" w:hanging="274"/>
            <w:jc w:val="both"/>
            <w:rPr>
              <w:rFonts w:ascii="Calibri" w:cs="Calibri" w:eastAsia="Calibri" w:hAnsi="Calibri"/>
              <w:b w:val="0"/>
              <w:i w:val="0"/>
              <w:smallCaps w:val="0"/>
              <w:strike w:val="0"/>
              <w:color w:val="000000"/>
              <w:sz w:val="22"/>
              <w:szCs w:val="22"/>
              <w:u w:val="none"/>
              <w:shd w:fill="auto" w:val="clear"/>
              <w:vertAlign w:val="baseline"/>
            </w:rPr>
          </w:pPr>
          <w:hyperlink w:anchor="_26in1rg">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2.1</w:t>
              <w:tab/>
              <w:t xml:space="preserve">Business Purpose</w:t>
              <w:tab/>
              <w:t xml:space="preserve">6</w:t>
            </w:r>
          </w:hyperlink>
          <w:r w:rsidDel="00000000" w:rsidR="00000000" w:rsidRPr="00000000">
            <w:rPr>
              <w:rtl w:val="0"/>
            </w:rPr>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tabs>
              <w:tab w:val="left" w:pos="880"/>
            </w:tabs>
            <w:spacing w:after="0" w:before="120" w:line="240" w:lineRule="auto"/>
            <w:ind w:left="274" w:right="0" w:hanging="274"/>
            <w:jc w:val="both"/>
            <w:rPr>
              <w:rFonts w:ascii="Calibri" w:cs="Calibri" w:eastAsia="Calibri" w:hAnsi="Calibri"/>
              <w:b w:val="0"/>
              <w:i w:val="0"/>
              <w:smallCaps w:val="0"/>
              <w:strike w:val="0"/>
              <w:color w:val="000000"/>
              <w:sz w:val="22"/>
              <w:szCs w:val="22"/>
              <w:u w:val="none"/>
              <w:shd w:fill="auto" w:val="clear"/>
              <w:vertAlign w:val="baseline"/>
            </w:rPr>
          </w:pPr>
          <w:hyperlink w:anchor="_lnxbz9">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2.2</w:t>
              <w:tab/>
              <w:t xml:space="preserve">Business Scope</w:t>
              <w:tab/>
              <w:t xml:space="preserve">6</w:t>
            </w:r>
          </w:hyperlink>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tabs>
              <w:tab w:val="left" w:pos="880"/>
            </w:tabs>
            <w:spacing w:after="0" w:before="120" w:line="240" w:lineRule="auto"/>
            <w:ind w:left="274" w:right="0" w:hanging="274"/>
            <w:jc w:val="both"/>
            <w:rPr>
              <w:rFonts w:ascii="Calibri" w:cs="Calibri" w:eastAsia="Calibri" w:hAnsi="Calibri"/>
              <w:b w:val="0"/>
              <w:i w:val="0"/>
              <w:smallCaps w:val="0"/>
              <w:strike w:val="0"/>
              <w:color w:val="000000"/>
              <w:sz w:val="22"/>
              <w:szCs w:val="22"/>
              <w:u w:val="none"/>
              <w:shd w:fill="auto" w:val="clear"/>
              <w:vertAlign w:val="baseline"/>
            </w:rPr>
          </w:pPr>
          <w:hyperlink w:anchor="_1ksv4uv">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2.3</w:t>
              <w:tab/>
              <w:t xml:space="preserve">Stakeholders</w:t>
              <w:tab/>
              <w:t xml:space="preserve">6</w:t>
            </w:r>
          </w:hyperlink>
          <w:r w:rsidDel="00000000" w:rsidR="00000000" w:rsidRPr="00000000">
            <w:rPr>
              <w:rtl w:val="0"/>
            </w:rPr>
          </w:r>
        </w:p>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tabs>
              <w:tab w:val="left" w:pos="360"/>
              <w:tab w:val="right" w:pos="9360"/>
            </w:tabs>
            <w:spacing w:after="0" w:before="120" w:line="240" w:lineRule="auto"/>
            <w:ind w:left="360" w:right="0" w:hanging="360"/>
            <w:jc w:val="both"/>
            <w:rPr>
              <w:rFonts w:ascii="Calibri" w:cs="Calibri" w:eastAsia="Calibri" w:hAnsi="Calibri"/>
              <w:b w:val="0"/>
              <w:i w:val="0"/>
              <w:smallCaps w:val="0"/>
              <w:strike w:val="0"/>
              <w:color w:val="000000"/>
              <w:sz w:val="22"/>
              <w:szCs w:val="22"/>
              <w:u w:val="none"/>
              <w:shd w:fill="auto" w:val="clear"/>
              <w:vertAlign w:val="baseline"/>
            </w:rPr>
          </w:pPr>
          <w:hyperlink w:anchor="_2jxsxqh">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3</w:t>
            </w:r>
          </w:hyperlink>
          <w:hyperlink w:anchor="_2jxsxqh">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r>
          </w:hyperlink>
          <w:r w:rsidDel="00000000" w:rsidR="00000000" w:rsidRPr="00000000">
            <w:fldChar w:fldCharType="begin"/>
            <w:instrText xml:space="preserve"> PAGEREF _2jxsxqh \h </w:instrText>
            <w:fldChar w:fldCharType="separate"/>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Stakeholder Requirements</w:t>
            <w:tab/>
            <w:t xml:space="preserve">12</w:t>
          </w:r>
          <w:r w:rsidDel="00000000" w:rsidR="00000000" w:rsidRPr="00000000">
            <w:fldChar w:fldCharType="end"/>
          </w:r>
          <w:r w:rsidDel="00000000" w:rsidR="00000000" w:rsidRPr="00000000">
            <w:rPr>
              <w:rtl w:val="0"/>
            </w:rPr>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tabs>
              <w:tab w:val="left" w:pos="880"/>
            </w:tabs>
            <w:spacing w:after="0" w:before="120" w:line="240" w:lineRule="auto"/>
            <w:ind w:left="274" w:right="0" w:hanging="274"/>
            <w:jc w:val="both"/>
            <w:rPr>
              <w:rFonts w:ascii="Calibri" w:cs="Calibri" w:eastAsia="Calibri" w:hAnsi="Calibri"/>
              <w:b w:val="0"/>
              <w:i w:val="0"/>
              <w:smallCaps w:val="0"/>
              <w:strike w:val="0"/>
              <w:color w:val="000000"/>
              <w:sz w:val="22"/>
              <w:szCs w:val="22"/>
              <w:u w:val="none"/>
              <w:shd w:fill="auto" w:val="clear"/>
              <w:vertAlign w:val="baseline"/>
            </w:rPr>
          </w:pPr>
          <w:hyperlink w:anchor="_z337ya">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3.1</w:t>
              <w:tab/>
              <w:t xml:space="preserve">Attributes</w:t>
              <w:tab/>
              <w:t xml:space="preserve">12</w:t>
            </w:r>
          </w:hyperlink>
          <w:r w:rsidDel="00000000" w:rsidR="00000000" w:rsidRPr="00000000">
            <w:rPr>
              <w:rtl w:val="0"/>
            </w:rPr>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tabs>
              <w:tab w:val="left" w:pos="1200"/>
              <w:tab w:val="right" w:pos="9360"/>
            </w:tabs>
            <w:spacing w:after="0" w:before="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3j2qqm3">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3.1.1</w:t>
              <w:tab/>
              <w:t xml:space="preserve">Types</w:t>
              <w:tab/>
              <w:t xml:space="preserve">12</w:t>
            </w:r>
          </w:hyperlink>
          <w:r w:rsidDel="00000000" w:rsidR="00000000" w:rsidRPr="00000000">
            <w:rPr>
              <w:rtl w:val="0"/>
            </w:rPr>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tabs>
              <w:tab w:val="left" w:pos="1200"/>
              <w:tab w:val="right" w:pos="9360"/>
            </w:tabs>
            <w:spacing w:after="0" w:before="0" w:line="240" w:lineRule="auto"/>
            <w:ind w:left="480" w:right="0" w:hanging="480"/>
            <w:jc w:val="left"/>
            <w:rPr>
              <w:rFonts w:ascii="Calibri" w:cs="Calibri" w:eastAsia="Calibri" w:hAnsi="Calibri"/>
              <w:b w:val="0"/>
              <w:i w:val="0"/>
              <w:smallCaps w:val="0"/>
              <w:strike w:val="0"/>
              <w:color w:val="000000"/>
              <w:sz w:val="22"/>
              <w:szCs w:val="22"/>
              <w:u w:val="none"/>
              <w:shd w:fill="auto" w:val="clear"/>
              <w:vertAlign w:val="baseline"/>
            </w:rPr>
          </w:pPr>
          <w:hyperlink w:anchor="_4i7ojhp">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3.1.2</w:t>
              <w:tab/>
              <w:t xml:space="preserve">Categories</w:t>
              <w:tab/>
              <w:t xml:space="preserve">12</w:t>
            </w:r>
          </w:hyperlink>
          <w:r w:rsidDel="00000000" w:rsidR="00000000" w:rsidRPr="00000000">
            <w:rPr>
              <w:rtl w:val="0"/>
            </w:rPr>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tabs>
              <w:tab w:val="left" w:pos="880"/>
            </w:tabs>
            <w:spacing w:after="0" w:before="120" w:line="240" w:lineRule="auto"/>
            <w:ind w:left="274" w:right="0" w:hanging="274"/>
            <w:jc w:val="both"/>
            <w:rPr>
              <w:rFonts w:ascii="Calibri" w:cs="Calibri" w:eastAsia="Calibri" w:hAnsi="Calibri"/>
              <w:b w:val="0"/>
              <w:i w:val="0"/>
              <w:smallCaps w:val="0"/>
              <w:strike w:val="0"/>
              <w:color w:val="000000"/>
              <w:sz w:val="22"/>
              <w:szCs w:val="22"/>
              <w:u w:val="none"/>
              <w:shd w:fill="auto" w:val="clear"/>
              <w:vertAlign w:val="baseline"/>
            </w:rPr>
          </w:pPr>
          <w:hyperlink w:anchor="_1ci93xb">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3.2</w:t>
              <w:tab/>
              <w:t xml:space="preserve">Requirements</w:t>
              <w:tab/>
              <w:t xml:space="preserve">13</w:t>
            </w:r>
          </w:hyperlink>
          <w:r w:rsidDel="00000000" w:rsidR="00000000" w:rsidRPr="00000000">
            <w:rPr>
              <w:rtl w:val="0"/>
            </w:rPr>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tabs>
              <w:tab w:val="left" w:pos="360"/>
              <w:tab w:val="right" w:pos="9360"/>
            </w:tabs>
            <w:spacing w:after="0" w:before="120" w:line="240" w:lineRule="auto"/>
            <w:ind w:left="360" w:right="0" w:hanging="360"/>
            <w:jc w:val="both"/>
            <w:rPr>
              <w:rFonts w:ascii="Calibri" w:cs="Calibri" w:eastAsia="Calibri" w:hAnsi="Calibri"/>
              <w:b w:val="0"/>
              <w:i w:val="0"/>
              <w:smallCaps w:val="0"/>
              <w:strike w:val="0"/>
              <w:color w:val="000000"/>
              <w:sz w:val="22"/>
              <w:szCs w:val="22"/>
              <w:u w:val="none"/>
              <w:shd w:fill="auto" w:val="clear"/>
              <w:vertAlign w:val="baseline"/>
            </w:rPr>
          </w:pPr>
          <w:hyperlink w:anchor="_qsh70q">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Appendix A – Glossary</w:t>
              <w:tab/>
              <w:t xml:space="preserve">16</w:t>
            </w:r>
          </w:hyperlink>
          <w:r w:rsidDel="00000000" w:rsidR="00000000" w:rsidRPr="00000000">
            <w:rPr>
              <w:rtl w:val="0"/>
            </w:rPr>
          </w:r>
        </w:p>
        <w:p w:rsidR="00000000" w:rsidDel="00000000" w:rsidP="00000000" w:rsidRDefault="00000000" w:rsidRPr="00000000" w14:paraId="00000026">
          <w:pPr>
            <w:rPr>
              <w:rFonts w:ascii="Calibri" w:cs="Calibri" w:eastAsia="Calibri" w:hAnsi="Calibri"/>
              <w:color w:val="000000"/>
            </w:rPr>
          </w:pP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8">
      <w:pPr>
        <w:keepNext w:val="1"/>
        <w:keepLines w:val="1"/>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left"/>
        <w:rPr>
          <w:rFonts w:ascii="Times" w:cs="Times" w:eastAsia="Times" w:hAnsi="Times"/>
          <w:b w:val="1"/>
          <w:i w:val="0"/>
          <w:smallCaps w:val="0"/>
          <w:strike w:val="0"/>
          <w:color w:val="a6a6a6"/>
          <w:sz w:val="36"/>
          <w:szCs w:val="36"/>
          <w:u w:val="none"/>
          <w:shd w:fill="auto" w:val="clear"/>
          <w:vertAlign w:val="baseline"/>
        </w:rPr>
      </w:pPr>
      <w:bookmarkStart w:colFirst="0" w:colLast="0" w:name="_1fob9te" w:id="2"/>
      <w:bookmarkEnd w:id="2"/>
      <w:r w:rsidDel="00000000" w:rsidR="00000000" w:rsidRPr="00000000">
        <w:br w:type="page"/>
      </w:r>
      <w:r w:rsidDel="00000000" w:rsidR="00000000" w:rsidRPr="00000000">
        <w:rPr>
          <w:rFonts w:ascii="Cambria" w:cs="Cambria" w:eastAsia="Cambria" w:hAnsi="Cambria"/>
          <w:b w:val="1"/>
          <w:i w:val="0"/>
          <w:smallCaps w:val="0"/>
          <w:strike w:val="0"/>
          <w:color w:val="4f81bc"/>
          <w:sz w:val="28"/>
          <w:szCs w:val="28"/>
          <w:u w:val="none"/>
          <w:shd w:fill="auto" w:val="clear"/>
          <w:vertAlign w:val="baseline"/>
          <w:rtl w:val="0"/>
        </w:rPr>
        <w:t xml:space="preserve">Revision History</w:t>
      </w:r>
      <w:r w:rsidDel="00000000" w:rsidR="00000000" w:rsidRPr="00000000">
        <w:rPr>
          <w:rtl w:val="0"/>
        </w:rPr>
      </w:r>
    </w:p>
    <w:tbl>
      <w:tblPr>
        <w:tblStyle w:val="Table1"/>
        <w:tblW w:w="9440.0" w:type="dxa"/>
        <w:jc w:val="left"/>
        <w:tblInd w:w="0.0" w:type="dxa"/>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1368"/>
        <w:gridCol w:w="1080"/>
        <w:gridCol w:w="2362"/>
        <w:gridCol w:w="4630"/>
        <w:tblGridChange w:id="0">
          <w:tblGrid>
            <w:gridCol w:w="1368"/>
            <w:gridCol w:w="1080"/>
            <w:gridCol w:w="2362"/>
            <w:gridCol w:w="4630"/>
          </w:tblGrid>
        </w:tblGridChange>
      </w:tblGrid>
      <w:tr>
        <w:tc>
          <w:tcPr>
            <w:shd w:fill="1f497d" w:val="clear"/>
          </w:tcPr>
          <w:p w:rsidR="00000000" w:rsidDel="00000000" w:rsidP="00000000" w:rsidRDefault="00000000" w:rsidRPr="00000000" w14:paraId="00000029">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Date</w:t>
            </w:r>
          </w:p>
        </w:tc>
        <w:tc>
          <w:tcPr>
            <w:shd w:fill="1f497d" w:val="clear"/>
          </w:tcPr>
          <w:p w:rsidR="00000000" w:rsidDel="00000000" w:rsidP="00000000" w:rsidRDefault="00000000" w:rsidRPr="00000000" w14:paraId="0000002A">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Version</w:t>
            </w:r>
          </w:p>
        </w:tc>
        <w:tc>
          <w:tcPr>
            <w:shd w:fill="1f497d" w:val="clear"/>
          </w:tcPr>
          <w:p w:rsidR="00000000" w:rsidDel="00000000" w:rsidP="00000000" w:rsidRDefault="00000000" w:rsidRPr="00000000" w14:paraId="0000002B">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Author</w:t>
            </w:r>
          </w:p>
        </w:tc>
        <w:tc>
          <w:tcPr>
            <w:shd w:fill="1f497d" w:val="clear"/>
          </w:tcPr>
          <w:p w:rsidR="00000000" w:rsidDel="00000000" w:rsidP="00000000" w:rsidRDefault="00000000" w:rsidRPr="00000000" w14:paraId="0000002C">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Revision Description</w:t>
            </w:r>
          </w:p>
        </w:tc>
      </w:tr>
      <w:tr>
        <w:tc>
          <w:tcPr/>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03/29/2018</w:t>
            </w:r>
          </w:p>
        </w:tc>
        <w:tc>
          <w:tcPr/>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1.0</w:t>
            </w:r>
          </w:p>
        </w:tc>
        <w:tc>
          <w:tcPr/>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Requirements Management Division (IR)</w:t>
            </w:r>
          </w:p>
        </w:tc>
        <w:tc>
          <w:tcPr/>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Initial version</w:t>
            </w:r>
          </w:p>
        </w:tc>
      </w:tr>
      <w:tr>
        <w:tc>
          <w:tcPr/>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05/23/2018</w:t>
            </w:r>
          </w:p>
        </w:tc>
        <w:tc>
          <w:tcPr/>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1.1</w:t>
            </w:r>
          </w:p>
        </w:tc>
        <w:tc>
          <w:tcPr/>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Requirements Management Division (IR)</w:t>
            </w:r>
          </w:p>
        </w:tc>
        <w:tc>
          <w:tcPr/>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Updated to include 17 new requirements from the business stakeholders.</w:t>
            </w:r>
          </w:p>
        </w:tc>
      </w:tr>
    </w:tbl>
    <w:p w:rsidR="00000000" w:rsidDel="00000000" w:rsidP="00000000" w:rsidRDefault="00000000" w:rsidRPr="00000000" w14:paraId="00000035">
      <w:pPr>
        <w:pStyle w:val="Heading1"/>
        <w:numPr>
          <w:ilvl w:val="0"/>
          <w:numId w:val="6"/>
        </w:numPr>
        <w:tabs>
          <w:tab w:val="left" w:pos="360"/>
        </w:tabs>
        <w:ind w:left="0" w:firstLine="0"/>
        <w:rPr/>
      </w:pPr>
      <w:bookmarkStart w:colFirst="0" w:colLast="0" w:name="_3znysh7" w:id="3"/>
      <w:bookmarkEnd w:id="3"/>
      <w:r w:rsidDel="00000000" w:rsidR="00000000" w:rsidRPr="00000000">
        <w:br w:type="page"/>
      </w:r>
      <w:r w:rsidDel="00000000" w:rsidR="00000000" w:rsidRPr="00000000">
        <w:rPr>
          <w:rtl w:val="0"/>
        </w:rPr>
        <w:t xml:space="preserve">Introduction</w:t>
      </w:r>
    </w:p>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section introduces the Stakeholder Requirements Specification (StRS) for the Performance Measurement and Reporting System (PMRS) 2.0. It discusses the purpose, scope and content of the document and provides an overview of the functionality that is addressed by the requirements.</w:t>
      </w:r>
    </w:p>
    <w:p w:rsidR="00000000" w:rsidDel="00000000" w:rsidP="00000000" w:rsidRDefault="00000000" w:rsidRPr="00000000" w14:paraId="00000037">
      <w:pPr>
        <w:pStyle w:val="Heading2"/>
        <w:numPr>
          <w:ilvl w:val="1"/>
          <w:numId w:val="1"/>
        </w:numPr>
        <w:tabs>
          <w:tab w:val="left" w:pos="540"/>
        </w:tabs>
        <w:ind w:left="0" w:firstLine="0"/>
        <w:rPr/>
      </w:pPr>
      <w:bookmarkStart w:colFirst="0" w:colLast="0" w:name="_2et92p0" w:id="4"/>
      <w:bookmarkEnd w:id="4"/>
      <w:r w:rsidDel="00000000" w:rsidR="00000000" w:rsidRPr="00000000">
        <w:rPr>
          <w:rtl w:val="0"/>
        </w:rPr>
        <w:t xml:space="preserve">Purpose</w:t>
      </w:r>
    </w:p>
    <w:p w:rsidR="00000000" w:rsidDel="00000000" w:rsidP="00000000" w:rsidRDefault="00000000" w:rsidRPr="00000000" w14:paraId="00000038">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purpose of this document is to provide the stakeholder requirements for the Performance Measurement and Reporting System (PMRS) 2.0 along with a context to help the reader understand them.</w:t>
      </w:r>
    </w:p>
    <w:p w:rsidR="00000000" w:rsidDel="00000000" w:rsidP="00000000" w:rsidRDefault="00000000" w:rsidRPr="00000000" w14:paraId="00000039">
      <w:pPr>
        <w:pStyle w:val="Heading2"/>
        <w:numPr>
          <w:ilvl w:val="1"/>
          <w:numId w:val="1"/>
        </w:numPr>
        <w:tabs>
          <w:tab w:val="left" w:pos="540"/>
        </w:tabs>
        <w:ind w:left="0" w:firstLine="0"/>
        <w:rPr/>
      </w:pPr>
      <w:bookmarkStart w:colFirst="0" w:colLast="0" w:name="_tyjcwt" w:id="5"/>
      <w:bookmarkEnd w:id="5"/>
      <w:r w:rsidDel="00000000" w:rsidR="00000000" w:rsidRPr="00000000">
        <w:rPr>
          <w:rtl w:val="0"/>
        </w:rPr>
        <w:t xml:space="preserve">Scope</w:t>
      </w:r>
    </w:p>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document addresses the full scope of the Performance Measurement and Reporting System (PMRS) 2.0 project.</w:t>
      </w:r>
    </w:p>
    <w:p w:rsidR="00000000" w:rsidDel="00000000" w:rsidP="00000000" w:rsidRDefault="00000000" w:rsidRPr="00000000" w14:paraId="0000003B">
      <w:pPr>
        <w:pStyle w:val="Heading3"/>
        <w:numPr>
          <w:ilvl w:val="2"/>
          <w:numId w:val="6"/>
        </w:numPr>
        <w:ind w:left="0" w:firstLine="0"/>
        <w:rPr/>
      </w:pPr>
      <w:bookmarkStart w:colFirst="0" w:colLast="0" w:name="_3dy6vkm" w:id="6"/>
      <w:bookmarkEnd w:id="6"/>
      <w:r w:rsidDel="00000000" w:rsidR="00000000" w:rsidRPr="00000000">
        <w:rPr>
          <w:rtl w:val="0"/>
        </w:rPr>
        <w:t xml:space="preserve">Assumptions</w:t>
      </w:r>
    </w:p>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following assumptions pertain to the contents of this document in general and to the requirements specifically:</w:t>
      </w:r>
    </w:p>
    <w:p w:rsidR="00000000" w:rsidDel="00000000" w:rsidP="00000000" w:rsidRDefault="00000000" w:rsidRPr="00000000" w14:paraId="0000003D">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12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 order to provide this functionality for data outside the PMRS, this document assumes that the data owners will control access to their data. </w:t>
      </w:r>
    </w:p>
    <w:p w:rsidR="00000000" w:rsidDel="00000000" w:rsidP="00000000" w:rsidRDefault="00000000" w:rsidRPr="00000000" w14:paraId="0000003E">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12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tool will be provided to personnel across the agency and will not be required to enforce controls on the access to data.</w:t>
      </w:r>
    </w:p>
    <w:p w:rsidR="00000000" w:rsidDel="00000000" w:rsidP="00000000" w:rsidRDefault="00000000" w:rsidRPr="00000000" w14:paraId="0000003F">
      <w:pPr>
        <w:pStyle w:val="Heading2"/>
        <w:numPr>
          <w:ilvl w:val="1"/>
          <w:numId w:val="1"/>
        </w:numPr>
        <w:tabs>
          <w:tab w:val="left" w:pos="540"/>
        </w:tabs>
        <w:ind w:left="0" w:firstLine="0"/>
        <w:rPr/>
      </w:pPr>
      <w:bookmarkStart w:colFirst="0" w:colLast="0" w:name="_1t3h5sf" w:id="7"/>
      <w:bookmarkEnd w:id="7"/>
      <w:r w:rsidDel="00000000" w:rsidR="00000000" w:rsidRPr="00000000">
        <w:rPr>
          <w:rtl w:val="0"/>
        </w:rPr>
        <w:t xml:space="preserve">References</w:t>
      </w:r>
    </w:p>
    <w:p w:rsidR="00000000" w:rsidDel="00000000" w:rsidP="00000000" w:rsidRDefault="00000000" w:rsidRPr="00000000" w14:paraId="00000040">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section lists the sources that were utilized during the refinement of the PMRS 2.0 stakeholder requirements. It consists of two sub-sections, “Compliance” and “Guidance”. The documents listed under “Compliance” directly influenced the content of the stakeholder requirements (i.e., they contain requirements); the documents listed under “Guidance” contain information pertinent to the stakeholder requirements but do not themselves contain requirements.</w:t>
      </w:r>
    </w:p>
    <w:p w:rsidR="00000000" w:rsidDel="00000000" w:rsidP="00000000" w:rsidRDefault="00000000" w:rsidRPr="00000000" w14:paraId="00000041">
      <w:pPr>
        <w:pStyle w:val="Heading3"/>
        <w:numPr>
          <w:ilvl w:val="2"/>
          <w:numId w:val="1"/>
        </w:numPr>
        <w:ind w:left="0" w:firstLine="0"/>
        <w:rPr/>
      </w:pPr>
      <w:bookmarkStart w:colFirst="0" w:colLast="0" w:name="_4d34og8" w:id="8"/>
      <w:bookmarkEnd w:id="8"/>
      <w:r w:rsidDel="00000000" w:rsidR="00000000" w:rsidRPr="00000000">
        <w:rPr>
          <w:rtl w:val="0"/>
        </w:rPr>
        <w:t xml:space="preserve">Compliance</w:t>
      </w:r>
    </w:p>
    <w:p w:rsidR="00000000" w:rsidDel="00000000" w:rsidP="00000000" w:rsidRDefault="00000000" w:rsidRPr="00000000" w14:paraId="00000042">
      <w:pPr>
        <w:keepNext w:val="0"/>
        <w:keepLines w:val="0"/>
        <w:widowControl w:val="1"/>
        <w:numPr>
          <w:ilvl w:val="0"/>
          <w:numId w:val="4"/>
        </w:numPr>
        <w:pBdr>
          <w:top w:space="0" w:sz="0" w:val="nil"/>
          <w:left w:space="0" w:sz="0" w:val="nil"/>
          <w:bottom w:space="0" w:sz="0" w:val="nil"/>
          <w:right w:space="0" w:sz="0" w:val="nil"/>
          <w:between w:space="0" w:sz="0" w:val="nil"/>
        </w:pBdr>
        <w:shd w:fill="auto" w:val="clear"/>
        <w:tabs>
          <w:tab w:val="left" w:pos="1440"/>
        </w:tabs>
        <w:spacing w:after="120" w:before="0" w:line="276" w:lineRule="auto"/>
        <w:ind w:left="1440" w:right="0" w:hanging="900"/>
        <w:jc w:val="left"/>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Business Needs Summary – 4280P – Data Analytic Tool</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NARA; 05/28/2014.</w:t>
      </w:r>
    </w:p>
    <w:p w:rsidR="00000000" w:rsidDel="00000000" w:rsidP="00000000" w:rsidRDefault="00000000" w:rsidRPr="00000000" w14:paraId="00000043">
      <w:pPr>
        <w:keepNext w:val="0"/>
        <w:keepLines w:val="0"/>
        <w:widowControl w:val="1"/>
        <w:numPr>
          <w:ilvl w:val="0"/>
          <w:numId w:val="4"/>
        </w:numPr>
        <w:pBdr>
          <w:top w:space="0" w:sz="0" w:val="nil"/>
          <w:left w:space="0" w:sz="0" w:val="nil"/>
          <w:bottom w:space="0" w:sz="0" w:val="nil"/>
          <w:right w:space="0" w:sz="0" w:val="nil"/>
          <w:between w:space="0" w:sz="0" w:val="nil"/>
        </w:pBdr>
        <w:shd w:fill="auto" w:val="clear"/>
        <w:tabs>
          <w:tab w:val="left" w:pos="1440"/>
        </w:tabs>
        <w:spacing w:after="120" w:before="0" w:line="276" w:lineRule="auto"/>
        <w:ind w:left="1440" w:right="0" w:hanging="900"/>
        <w:jc w:val="left"/>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Section 508 of the Rehabilitation Act of 1973, as amended (29 U.S.C. §794 (d));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US Government; 1/03/2012; </w:t>
      </w:r>
      <w:hyperlink r:id="rId13">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http://www.section508.gov/</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44">
      <w:pPr>
        <w:keepNext w:val="0"/>
        <w:keepLines w:val="0"/>
        <w:widowControl w:val="1"/>
        <w:numPr>
          <w:ilvl w:val="0"/>
          <w:numId w:val="4"/>
        </w:numPr>
        <w:pBdr>
          <w:top w:space="0" w:sz="0" w:val="nil"/>
          <w:left w:space="0" w:sz="0" w:val="nil"/>
          <w:bottom w:space="0" w:sz="0" w:val="nil"/>
          <w:right w:space="0" w:sz="0" w:val="nil"/>
          <w:between w:space="0" w:sz="0" w:val="nil"/>
        </w:pBdr>
        <w:shd w:fill="auto" w:val="clear"/>
        <w:tabs>
          <w:tab w:val="left" w:pos="1440"/>
        </w:tabs>
        <w:spacing w:after="120" w:before="0" w:line="276" w:lineRule="auto"/>
        <w:ind w:left="1440" w:right="0" w:hanging="900"/>
        <w:jc w:val="left"/>
        <w:rPr>
          <w:rFonts w:ascii="Calibri" w:cs="Calibri" w:eastAsia="Calibri" w:hAnsi="Calibri"/>
          <w:b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 Information and Communication Technology (ICT) Standards and Guidelines (82 FR 5790);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US Government; 1/18/2017; </w:t>
      </w:r>
      <w:hyperlink r:id="rId14">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https://www.gpo.gov/fdsys/granule/FR-2017-01-18/2017-00395</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45">
      <w:pPr>
        <w:pStyle w:val="Heading3"/>
        <w:numPr>
          <w:ilvl w:val="2"/>
          <w:numId w:val="1"/>
        </w:numPr>
        <w:ind w:left="0" w:firstLine="0"/>
        <w:rPr/>
      </w:pPr>
      <w:bookmarkStart w:colFirst="0" w:colLast="0" w:name="_2s8eyo1" w:id="9"/>
      <w:bookmarkEnd w:id="9"/>
      <w:r w:rsidDel="00000000" w:rsidR="00000000" w:rsidRPr="00000000">
        <w:rPr>
          <w:rtl w:val="0"/>
        </w:rPr>
        <w:t xml:space="preserve">Guidance</w:t>
      </w:r>
    </w:p>
    <w:p w:rsidR="00000000" w:rsidDel="00000000" w:rsidP="00000000" w:rsidRDefault="00000000" w:rsidRPr="00000000" w14:paraId="00000046">
      <w:pPr>
        <w:keepNext w:val="0"/>
        <w:keepLines w:val="0"/>
        <w:widowControl w:val="1"/>
        <w:numPr>
          <w:ilvl w:val="0"/>
          <w:numId w:val="3"/>
        </w:numPr>
        <w:pBdr>
          <w:top w:space="0" w:sz="0" w:val="nil"/>
          <w:left w:space="0" w:sz="0" w:val="nil"/>
          <w:bottom w:space="0" w:sz="0" w:val="nil"/>
          <w:right w:space="0" w:sz="0" w:val="nil"/>
          <w:between w:space="0" w:sz="0" w:val="nil"/>
        </w:pBdr>
        <w:shd w:fill="auto" w:val="clear"/>
        <w:tabs>
          <w:tab w:val="left" w:pos="1440"/>
        </w:tabs>
        <w:spacing w:after="120" w:before="0" w:line="276" w:lineRule="auto"/>
        <w:ind w:left="1440" w:right="0" w:hanging="900"/>
        <w:jc w:val="left"/>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NARA Systems Development Life Cycle (SDLC) Methodology Version 1.6</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NARA; 11/27/2013.</w:t>
      </w:r>
    </w:p>
    <w:p w:rsidR="00000000" w:rsidDel="00000000" w:rsidP="00000000" w:rsidRDefault="00000000" w:rsidRPr="00000000" w14:paraId="00000047">
      <w:pPr>
        <w:keepNext w:val="0"/>
        <w:keepLines w:val="0"/>
        <w:widowControl w:val="1"/>
        <w:numPr>
          <w:ilvl w:val="0"/>
          <w:numId w:val="3"/>
        </w:numPr>
        <w:pBdr>
          <w:top w:space="0" w:sz="0" w:val="nil"/>
          <w:left w:space="0" w:sz="0" w:val="nil"/>
          <w:bottom w:space="0" w:sz="0" w:val="nil"/>
          <w:right w:space="0" w:sz="0" w:val="nil"/>
          <w:between w:space="0" w:sz="0" w:val="nil"/>
        </w:pBdr>
        <w:shd w:fill="auto" w:val="clear"/>
        <w:tabs>
          <w:tab w:val="left" w:pos="1440"/>
        </w:tabs>
        <w:spacing w:after="120" w:before="0" w:line="276" w:lineRule="auto"/>
        <w:ind w:left="1440" w:right="0" w:hanging="900"/>
        <w:jc w:val="left"/>
        <w:rPr/>
      </w:pPr>
      <w:bookmarkStart w:colFirst="0" w:colLast="0" w:name="_17dp8vu" w:id="10"/>
      <w:bookmarkEnd w:id="10"/>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NARA Enterprise Requirements Program Management Plan Version 3.0;</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NARA (IQ); 08/17/2017.</w:t>
      </w:r>
    </w:p>
    <w:p w:rsidR="00000000" w:rsidDel="00000000" w:rsidP="00000000" w:rsidRDefault="00000000" w:rsidRPr="00000000" w14:paraId="00000048">
      <w:pPr>
        <w:keepNext w:val="0"/>
        <w:keepLines w:val="0"/>
        <w:widowControl w:val="1"/>
        <w:numPr>
          <w:ilvl w:val="0"/>
          <w:numId w:val="3"/>
        </w:numPr>
        <w:pBdr>
          <w:top w:space="0" w:sz="0" w:val="nil"/>
          <w:left w:space="0" w:sz="0" w:val="nil"/>
          <w:bottom w:space="0" w:sz="0" w:val="nil"/>
          <w:right w:space="0" w:sz="0" w:val="nil"/>
          <w:between w:space="0" w:sz="0" w:val="nil"/>
        </w:pBdr>
        <w:shd w:fill="auto" w:val="clear"/>
        <w:tabs>
          <w:tab w:val="left" w:pos="1440"/>
        </w:tabs>
        <w:spacing w:after="120" w:before="0" w:line="276" w:lineRule="auto"/>
        <w:ind w:left="1440" w:right="0" w:hanging="900"/>
        <w:jc w:val="left"/>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NARA Requirements Verification Traceability Matrix (RVTM) Template Version 2.4</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NARA (IR); 02/13/2018.</w:t>
      </w:r>
    </w:p>
    <w:p w:rsidR="00000000" w:rsidDel="00000000" w:rsidP="00000000" w:rsidRDefault="00000000" w:rsidRPr="00000000" w14:paraId="00000049">
      <w:pPr>
        <w:keepNext w:val="0"/>
        <w:keepLines w:val="0"/>
        <w:widowControl w:val="1"/>
        <w:numPr>
          <w:ilvl w:val="0"/>
          <w:numId w:val="3"/>
        </w:numPr>
        <w:pBdr>
          <w:top w:space="0" w:sz="0" w:val="nil"/>
          <w:left w:space="0" w:sz="0" w:val="nil"/>
          <w:bottom w:space="0" w:sz="0" w:val="nil"/>
          <w:right w:space="0" w:sz="0" w:val="nil"/>
          <w:between w:space="0" w:sz="0" w:val="nil"/>
        </w:pBdr>
        <w:shd w:fill="auto" w:val="clear"/>
        <w:tabs>
          <w:tab w:val="left" w:pos="1440"/>
        </w:tabs>
        <w:spacing w:after="120" w:before="0" w:line="276" w:lineRule="auto"/>
        <w:ind w:left="1440" w:right="0" w:hanging="900"/>
        <w:jc w:val="left"/>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International Standard ISO/IEC/IEEE 29148:2011(E): Systems and software engineering —Life cycle processes — Requirements engineering</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Institute of Electrical and Electronics Engineers, Inc. (IEEE); 12/1/2011.</w:t>
      </w:r>
    </w:p>
    <w:p w:rsidR="00000000" w:rsidDel="00000000" w:rsidP="00000000" w:rsidRDefault="00000000" w:rsidRPr="00000000" w14:paraId="0000004A">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B">
      <w:pPr>
        <w:pStyle w:val="Heading1"/>
        <w:numPr>
          <w:ilvl w:val="0"/>
          <w:numId w:val="1"/>
        </w:numPr>
        <w:tabs>
          <w:tab w:val="left" w:pos="360"/>
        </w:tabs>
        <w:ind w:left="0" w:firstLine="0"/>
        <w:rPr/>
      </w:pPr>
      <w:bookmarkStart w:colFirst="0" w:colLast="0" w:name="_3rdcrjn" w:id="11"/>
      <w:bookmarkEnd w:id="11"/>
      <w:r w:rsidDel="00000000" w:rsidR="00000000" w:rsidRPr="00000000">
        <w:br w:type="page"/>
      </w:r>
      <w:r w:rsidDel="00000000" w:rsidR="00000000" w:rsidRPr="00000000">
        <w:rPr>
          <w:rtl w:val="0"/>
        </w:rPr>
        <w:t xml:space="preserve">Business Abstract</w:t>
      </w:r>
    </w:p>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section introduces the PMRS 2.0 project and describes its business context.</w:t>
      </w:r>
    </w:p>
    <w:p w:rsidR="00000000" w:rsidDel="00000000" w:rsidP="00000000" w:rsidRDefault="00000000" w:rsidRPr="00000000" w14:paraId="0000004D">
      <w:pPr>
        <w:pStyle w:val="Heading2"/>
        <w:numPr>
          <w:ilvl w:val="1"/>
          <w:numId w:val="1"/>
        </w:numPr>
        <w:tabs>
          <w:tab w:val="left" w:pos="540"/>
        </w:tabs>
        <w:ind w:left="0" w:firstLine="0"/>
        <w:rPr/>
      </w:pPr>
      <w:bookmarkStart w:colFirst="0" w:colLast="0" w:name="_26in1rg" w:id="12"/>
      <w:bookmarkEnd w:id="12"/>
      <w:r w:rsidDel="00000000" w:rsidR="00000000" w:rsidRPr="00000000">
        <w:rPr>
          <w:rtl w:val="0"/>
        </w:rPr>
        <w:t xml:space="preserve">Business Purpose </w:t>
      </w:r>
    </w:p>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There is a specific need to replace the existing data analytics tool, Databeacon, which is used for analyzing and providing access to data stored in the Performance Measurement and Reporting System (PRMS) data warehouse. This product is no longer supported by the vendor, IBM, and the product is continually losing functionality as new versions of Java tighten security. A data analytics tool is required so that all NARA organizations can see their performance results and explore their data interactively to discover trends or other insights.</w:t>
      </w:r>
    </w:p>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software must be easy to learn so that staff can do this without significant training. Users need to be able to retrieve their data in a self-service environment without the additional cost, and bottleneck, of a staff person devoted to producing reports, visualizations, dashboards, and other output from PMRS.</w:t>
      </w:r>
    </w:p>
    <w:p w:rsidR="00000000" w:rsidDel="00000000" w:rsidP="00000000" w:rsidRDefault="00000000" w:rsidRPr="00000000" w14:paraId="00000050">
      <w:pPr>
        <w:pStyle w:val="Heading2"/>
        <w:numPr>
          <w:ilvl w:val="1"/>
          <w:numId w:val="1"/>
        </w:numPr>
        <w:tabs>
          <w:tab w:val="left" w:pos="540"/>
        </w:tabs>
        <w:ind w:left="0" w:firstLine="0"/>
        <w:rPr/>
      </w:pPr>
      <w:bookmarkStart w:colFirst="0" w:colLast="0" w:name="_lnxbz9" w:id="13"/>
      <w:bookmarkEnd w:id="13"/>
      <w:r w:rsidDel="00000000" w:rsidR="00000000" w:rsidRPr="00000000">
        <w:rPr>
          <w:rtl w:val="0"/>
        </w:rPr>
        <w:t xml:space="preserve">Business Scope</w:t>
      </w:r>
    </w:p>
    <w:p w:rsidR="00000000" w:rsidDel="00000000" w:rsidP="00000000" w:rsidRDefault="00000000" w:rsidRPr="00000000" w14:paraId="00000051">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bookmarkStart w:colFirst="0" w:colLast="0" w:name="_35nkun2" w:id="14"/>
      <w:bookmarkEnd w:id="14"/>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figure below presents the way Databeacon is currently used as part of PMRS. The new solution would replace the functionality provided by Databeacon.</w:t>
      </w:r>
    </w:p>
    <w:p w:rsidR="00000000" w:rsidDel="00000000" w:rsidP="00000000" w:rsidRDefault="00000000" w:rsidRPr="00000000" w14:paraId="00000052">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0" distT="0" distL="0" distR="0">
            <wp:extent cx="5162550" cy="3276600"/>
            <wp:effectExtent b="0" l="0" r="0" t="0"/>
            <wp:docPr descr="C:\..\PMRS\2 - PMRS Components.png" id="2" name="image1.png"/>
            <a:graphic>
              <a:graphicData uri="http://schemas.openxmlformats.org/drawingml/2006/picture">
                <pic:pic>
                  <pic:nvPicPr>
                    <pic:cNvPr descr="C:\..\PMRS\2 - PMRS Components.png" id="0" name="image1.png"/>
                    <pic:cNvPicPr preferRelativeResize="0"/>
                  </pic:nvPicPr>
                  <pic:blipFill>
                    <a:blip r:embed="rId15"/>
                    <a:srcRect b="0" l="0" r="0" t="0"/>
                    <a:stretch>
                      <a:fillRect/>
                    </a:stretch>
                  </pic:blipFill>
                  <pic:spPr>
                    <a:xfrm>
                      <a:off x="0" y="0"/>
                      <a:ext cx="5162550" cy="3276600"/>
                    </a:xfrm>
                    <a:prstGeom prst="rect"/>
                    <a:ln/>
                  </pic:spPr>
                </pic:pic>
              </a:graphicData>
            </a:graphic>
          </wp:inline>
        </w:drawing>
      </w:r>
      <w:r w:rsidDel="00000000" w:rsidR="00000000" w:rsidRPr="00000000">
        <w:rPr>
          <w:rtl w:val="0"/>
        </w:rPr>
      </w:r>
    </w:p>
    <w:p w:rsidR="00000000" w:rsidDel="00000000" w:rsidP="00000000" w:rsidRDefault="00000000" w:rsidRPr="00000000" w14:paraId="00000053">
      <w:pPr>
        <w:pStyle w:val="Heading2"/>
        <w:numPr>
          <w:ilvl w:val="1"/>
          <w:numId w:val="1"/>
        </w:numPr>
        <w:tabs>
          <w:tab w:val="left" w:pos="540"/>
        </w:tabs>
        <w:ind w:left="0" w:firstLine="0"/>
        <w:rPr/>
      </w:pPr>
      <w:bookmarkStart w:colFirst="0" w:colLast="0" w:name="_1ksv4uv" w:id="15"/>
      <w:bookmarkEnd w:id="15"/>
      <w:r w:rsidDel="00000000" w:rsidR="00000000" w:rsidRPr="00000000">
        <w:rPr>
          <w:rtl w:val="0"/>
        </w:rPr>
        <w:t xml:space="preserve">Stakeholders</w:t>
      </w:r>
    </w:p>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ff0000"/>
          <w:sz w:val="22"/>
          <w:szCs w:val="22"/>
          <w:u w:val="none"/>
          <w:shd w:fill="auto" w:val="clear"/>
          <w:vertAlign w:val="baseline"/>
        </w:rPr>
      </w:pPr>
      <w:bookmarkStart w:colFirst="0" w:colLast="0" w:name="_44sinio" w:id="16"/>
      <w:bookmarkEnd w:id="16"/>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primary stakeholder for this project is the Strategy and Performance Division of the Office of the Chief of Management and Administration. However, a number of offices across the agency provide data to PMRS in order to measure the performance of their organization. These organizations have also been included in the table below as secondary stakeholders of the PMRS 2.0 system. </w:t>
      </w:r>
      <w:r w:rsidDel="00000000" w:rsidR="00000000" w:rsidRPr="00000000">
        <w:rPr>
          <w:rtl w:val="0"/>
        </w:rPr>
      </w:r>
    </w:p>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Table 2-1: Stakeholders – Organizations</w:t>
      </w:r>
    </w:p>
    <w:tbl>
      <w:tblPr>
        <w:tblStyle w:val="Table2"/>
        <w:tblW w:w="9393.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917"/>
        <w:gridCol w:w="1980"/>
        <w:gridCol w:w="1170"/>
        <w:gridCol w:w="2340"/>
        <w:gridCol w:w="2986"/>
        <w:tblGridChange w:id="0">
          <w:tblGrid>
            <w:gridCol w:w="917"/>
            <w:gridCol w:w="1980"/>
            <w:gridCol w:w="1170"/>
            <w:gridCol w:w="2340"/>
            <w:gridCol w:w="2986"/>
          </w:tblGrid>
        </w:tblGridChange>
      </w:tblGrid>
      <w:tr>
        <w:tc>
          <w:tcPr>
            <w:shd w:fill="1f497d" w:val="clear"/>
          </w:tcPr>
          <w:p w:rsidR="00000000" w:rsidDel="00000000" w:rsidP="00000000" w:rsidRDefault="00000000" w:rsidRPr="00000000" w14:paraId="00000056">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Symbol</w:t>
            </w:r>
          </w:p>
        </w:tc>
        <w:tc>
          <w:tcPr>
            <w:shd w:fill="1f497d" w:val="clear"/>
          </w:tcPr>
          <w:p w:rsidR="00000000" w:rsidDel="00000000" w:rsidP="00000000" w:rsidRDefault="00000000" w:rsidRPr="00000000" w14:paraId="00000057">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Organization</w:t>
            </w:r>
          </w:p>
        </w:tc>
        <w:tc>
          <w:tcPr>
            <w:shd w:fill="1f497d" w:val="clear"/>
          </w:tcPr>
          <w:p w:rsidR="00000000" w:rsidDel="00000000" w:rsidP="00000000" w:rsidRDefault="00000000" w:rsidRPr="00000000" w14:paraId="00000058">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Type</w:t>
            </w:r>
          </w:p>
        </w:tc>
        <w:tc>
          <w:tcPr>
            <w:shd w:fill="1f497d" w:val="clear"/>
          </w:tcPr>
          <w:p w:rsidR="00000000" w:rsidDel="00000000" w:rsidP="00000000" w:rsidRDefault="00000000" w:rsidRPr="00000000" w14:paraId="00000059">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Main Interests</w:t>
            </w:r>
          </w:p>
        </w:tc>
        <w:tc>
          <w:tcPr>
            <w:shd w:fill="1f497d" w:val="clear"/>
          </w:tcPr>
          <w:p w:rsidR="00000000" w:rsidDel="00000000" w:rsidP="00000000" w:rsidRDefault="00000000" w:rsidRPr="00000000" w14:paraId="0000005A">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Impact of Project</w:t>
            </w:r>
          </w:p>
        </w:tc>
      </w:tr>
      <w:tr>
        <w:tc>
          <w:tcPr/>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MP</w:t>
            </w:r>
          </w:p>
        </w:tc>
        <w:tc>
          <w:tcPr/>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Strategy and Performance Division, Office of the Chief of Management and Administration</w:t>
            </w:r>
          </w:p>
        </w:tc>
        <w:tc>
          <w:tcPr/>
          <w:p w:rsidR="00000000" w:rsidDel="00000000" w:rsidP="00000000" w:rsidRDefault="00000000" w:rsidRPr="00000000" w14:paraId="0000005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Primary</w:t>
            </w:r>
          </w:p>
        </w:tc>
        <w:tc>
          <w:tcPr/>
          <w:p w:rsidR="00000000" w:rsidDel="00000000" w:rsidP="00000000" w:rsidRDefault="00000000" w:rsidRPr="00000000" w14:paraId="0000005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Timely and accurate data analysis to allow individuals to measure progress toward strategic goals and generate new insights in support of NARA’s mission.</w:t>
            </w:r>
          </w:p>
        </w:tc>
        <w:tc>
          <w:tcPr/>
          <w:p w:rsidR="00000000" w:rsidDel="00000000" w:rsidP="00000000" w:rsidRDefault="00000000" w:rsidRPr="00000000" w14:paraId="0000005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6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AC</w:t>
            </w:r>
          </w:p>
        </w:tc>
        <w:tc>
          <w:tcPr/>
          <w:p w:rsidR="00000000" w:rsidDel="00000000" w:rsidP="00000000" w:rsidRDefault="00000000" w:rsidRPr="00000000" w14:paraId="0000006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Office of the Chief Records Officer, Agency Services</w:t>
            </w:r>
          </w:p>
        </w:tc>
        <w:tc>
          <w:tcPr/>
          <w:p w:rsidR="00000000" w:rsidDel="00000000" w:rsidP="00000000" w:rsidRDefault="00000000" w:rsidRPr="00000000" w14:paraId="0000006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6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6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6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ACO</w:t>
            </w:r>
          </w:p>
        </w:tc>
        <w:tc>
          <w:tcPr/>
          <w:p w:rsidR="00000000" w:rsidDel="00000000" w:rsidP="00000000" w:rsidRDefault="00000000" w:rsidRPr="00000000" w14:paraId="0000006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Records Management Oversight and Reporting Program, Office of the Chief Records Officer</w:t>
            </w:r>
          </w:p>
        </w:tc>
        <w:tc>
          <w:tcPr/>
          <w:p w:rsidR="00000000" w:rsidDel="00000000" w:rsidP="00000000" w:rsidRDefault="00000000" w:rsidRPr="00000000" w14:paraId="0000006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6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6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6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AFN-MC4</w:t>
            </w:r>
          </w:p>
        </w:tc>
        <w:tc>
          <w:tcPr/>
          <w:p w:rsidR="00000000" w:rsidDel="00000000" w:rsidP="00000000" w:rsidRDefault="00000000" w:rsidRPr="00000000" w14:paraId="0000006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Military Reference Core 4, Military Personnel Records, Federal Records Center Program</w:t>
            </w:r>
          </w:p>
        </w:tc>
        <w:tc>
          <w:tcPr/>
          <w:p w:rsidR="00000000" w:rsidDel="00000000" w:rsidP="00000000" w:rsidRDefault="00000000" w:rsidRPr="00000000" w14:paraId="0000006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6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6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6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AFO</w:t>
            </w:r>
          </w:p>
        </w:tc>
        <w:tc>
          <w:tcPr/>
          <w:p w:rsidR="00000000" w:rsidDel="00000000" w:rsidP="00000000" w:rsidRDefault="00000000" w:rsidRPr="00000000" w14:paraId="0000007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Operations Branch, Federal Records Center Program</w:t>
            </w:r>
          </w:p>
        </w:tc>
        <w:tc>
          <w:tcPr/>
          <w:p w:rsidR="00000000" w:rsidDel="00000000" w:rsidP="00000000" w:rsidRDefault="00000000" w:rsidRPr="00000000" w14:paraId="0000007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7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7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7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AFOR</w:t>
            </w:r>
          </w:p>
        </w:tc>
        <w:tc>
          <w:tcPr/>
          <w:p w:rsidR="00000000" w:rsidDel="00000000" w:rsidP="00000000" w:rsidRDefault="00000000" w:rsidRPr="00000000" w14:paraId="0000007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Records Management Services, Operations Branch, Federal Records Center Program</w:t>
            </w:r>
          </w:p>
        </w:tc>
        <w:tc>
          <w:tcPr/>
          <w:p w:rsidR="00000000" w:rsidDel="00000000" w:rsidP="00000000" w:rsidRDefault="00000000" w:rsidRPr="00000000" w14:paraId="0000007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7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7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7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AFOW-LS</w:t>
            </w:r>
          </w:p>
        </w:tc>
        <w:tc>
          <w:tcPr/>
          <w:p w:rsidR="00000000" w:rsidDel="00000000" w:rsidP="00000000" w:rsidRDefault="00000000" w:rsidRPr="00000000" w14:paraId="0000007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Lee’s Summit Federal Records Center</w:t>
            </w:r>
          </w:p>
        </w:tc>
        <w:tc>
          <w:tcPr/>
          <w:p w:rsidR="00000000" w:rsidDel="00000000" w:rsidP="00000000" w:rsidRDefault="00000000" w:rsidRPr="00000000" w14:paraId="0000007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7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7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7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AFOW-LX</w:t>
            </w:r>
          </w:p>
        </w:tc>
        <w:tc>
          <w:tcPr/>
          <w:p w:rsidR="00000000" w:rsidDel="00000000" w:rsidP="00000000" w:rsidRDefault="00000000" w:rsidRPr="00000000" w14:paraId="0000007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Lenexa Federal Records Center</w:t>
            </w:r>
          </w:p>
        </w:tc>
        <w:tc>
          <w:tcPr/>
          <w:p w:rsidR="00000000" w:rsidDel="00000000" w:rsidP="00000000" w:rsidRDefault="00000000" w:rsidRPr="00000000" w14:paraId="0000008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8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8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8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AFOD</w:t>
            </w:r>
          </w:p>
        </w:tc>
        <w:tc>
          <w:tcPr/>
          <w:p w:rsidR="00000000" w:rsidDel="00000000" w:rsidP="00000000" w:rsidRDefault="00000000" w:rsidRPr="00000000" w14:paraId="0000008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Federal Records Centers - Suitland</w:t>
            </w:r>
          </w:p>
        </w:tc>
        <w:tc>
          <w:tcPr/>
          <w:p w:rsidR="00000000" w:rsidDel="00000000" w:rsidP="00000000" w:rsidRDefault="00000000" w:rsidRPr="00000000" w14:paraId="0000008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8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8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8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AFOW-SE</w:t>
            </w:r>
          </w:p>
        </w:tc>
        <w:tc>
          <w:tcPr/>
          <w:p w:rsidR="00000000" w:rsidDel="00000000" w:rsidP="00000000" w:rsidRDefault="00000000" w:rsidRPr="00000000" w14:paraId="0000008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Seattle Federal Records Center</w:t>
            </w:r>
          </w:p>
        </w:tc>
        <w:tc>
          <w:tcPr/>
          <w:p w:rsidR="00000000" w:rsidDel="00000000" w:rsidP="00000000" w:rsidRDefault="00000000" w:rsidRPr="00000000" w14:paraId="0000008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8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8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8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ANDC</w:t>
            </w:r>
          </w:p>
        </w:tc>
        <w:tc>
          <w:tcPr/>
          <w:p w:rsidR="00000000" w:rsidDel="00000000" w:rsidP="00000000" w:rsidRDefault="00000000" w:rsidRPr="00000000" w14:paraId="0000008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National Declassification Center, Agency Services</w:t>
            </w:r>
          </w:p>
        </w:tc>
        <w:tc>
          <w:tcPr/>
          <w:p w:rsidR="00000000" w:rsidDel="00000000" w:rsidP="00000000" w:rsidRDefault="00000000" w:rsidRPr="00000000" w14:paraId="0000008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9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9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9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BFF</w:t>
            </w:r>
          </w:p>
        </w:tc>
        <w:tc>
          <w:tcPr/>
          <w:p w:rsidR="00000000" w:rsidDel="00000000" w:rsidP="00000000" w:rsidRDefault="00000000" w:rsidRPr="00000000" w14:paraId="0000009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Facilities and Property Branch, Facility and Property Management Division, Business Support Services</w:t>
            </w:r>
          </w:p>
        </w:tc>
        <w:tc>
          <w:tcPr/>
          <w:p w:rsidR="00000000" w:rsidDel="00000000" w:rsidP="00000000" w:rsidRDefault="00000000" w:rsidRPr="00000000" w14:paraId="0000009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9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9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9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BP</w:t>
            </w:r>
          </w:p>
        </w:tc>
        <w:tc>
          <w:tcPr/>
          <w:p w:rsidR="00000000" w:rsidDel="00000000" w:rsidP="00000000" w:rsidRDefault="00000000" w:rsidRPr="00000000" w14:paraId="0000009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Project Assistance Division, Business Support Services</w:t>
            </w:r>
          </w:p>
        </w:tc>
        <w:tc>
          <w:tcPr/>
          <w:p w:rsidR="00000000" w:rsidDel="00000000" w:rsidP="00000000" w:rsidRDefault="00000000" w:rsidRPr="00000000" w14:paraId="0000009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9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9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9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BQF</w:t>
            </w:r>
          </w:p>
        </w:tc>
        <w:tc>
          <w:tcPr/>
          <w:p w:rsidR="00000000" w:rsidDel="00000000" w:rsidP="00000000" w:rsidRDefault="00000000" w:rsidRPr="00000000" w14:paraId="0000009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Field Support Office - Fort Worth, Field Management Support Division, Business Support Services</w:t>
            </w:r>
          </w:p>
        </w:tc>
        <w:tc>
          <w:tcPr/>
          <w:p w:rsidR="00000000" w:rsidDel="00000000" w:rsidP="00000000" w:rsidRDefault="00000000" w:rsidRPr="00000000" w14:paraId="0000009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9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A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A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w:t>
            </w:r>
          </w:p>
        </w:tc>
        <w:tc>
          <w:tcPr/>
          <w:p w:rsidR="00000000" w:rsidDel="00000000" w:rsidP="00000000" w:rsidRDefault="00000000" w:rsidRPr="00000000" w14:paraId="000000A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Office of the Chief Operating Officer</w:t>
            </w:r>
          </w:p>
        </w:tc>
        <w:tc>
          <w:tcPr/>
          <w:p w:rsidR="00000000" w:rsidDel="00000000" w:rsidP="00000000" w:rsidRDefault="00000000" w:rsidRPr="00000000" w14:paraId="000000A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A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A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A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CA</w:t>
            </w:r>
          </w:p>
        </w:tc>
        <w:tc>
          <w:tcPr/>
          <w:p w:rsidR="00000000" w:rsidDel="00000000" w:rsidP="00000000" w:rsidRDefault="00000000" w:rsidRPr="00000000" w14:paraId="000000A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Accountability Staff, Office of the Chief Operations Officer</w:t>
            </w:r>
          </w:p>
        </w:tc>
        <w:tc>
          <w:tcPr/>
          <w:p w:rsidR="00000000" w:rsidDel="00000000" w:rsidP="00000000" w:rsidRDefault="00000000" w:rsidRPr="00000000" w14:paraId="000000A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A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A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A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H</w:t>
            </w:r>
          </w:p>
        </w:tc>
        <w:tc>
          <w:tcPr/>
          <w:p w:rsidR="00000000" w:rsidDel="00000000" w:rsidP="00000000" w:rsidRDefault="00000000" w:rsidRPr="00000000" w14:paraId="000000A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Office of Human Capital</w:t>
            </w:r>
          </w:p>
        </w:tc>
        <w:tc>
          <w:tcPr/>
          <w:p w:rsidR="00000000" w:rsidDel="00000000" w:rsidP="00000000" w:rsidRDefault="00000000" w:rsidRPr="00000000" w14:paraId="000000A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A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A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B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HL</w:t>
            </w:r>
          </w:p>
        </w:tc>
        <w:tc>
          <w:tcPr/>
          <w:p w:rsidR="00000000" w:rsidDel="00000000" w:rsidP="00000000" w:rsidRDefault="00000000" w:rsidRPr="00000000" w14:paraId="000000B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Organizational Development &amp; Learning Division, Office of Human Capital</w:t>
            </w:r>
          </w:p>
        </w:tc>
        <w:tc>
          <w:tcPr/>
          <w:p w:rsidR="00000000" w:rsidDel="00000000" w:rsidP="00000000" w:rsidRDefault="00000000" w:rsidRPr="00000000" w14:paraId="000000B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B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B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B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HPS</w:t>
            </w:r>
          </w:p>
        </w:tc>
        <w:tc>
          <w:tcPr/>
          <w:p w:rsidR="00000000" w:rsidDel="00000000" w:rsidP="00000000" w:rsidRDefault="00000000" w:rsidRPr="00000000" w14:paraId="000000B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Strategy, Analysis &amp; Automation Branch, Labor/Employee Relations, Benefits &amp; Performance Management Division, Office of Human Capital</w:t>
            </w:r>
          </w:p>
        </w:tc>
        <w:tc>
          <w:tcPr/>
          <w:p w:rsidR="00000000" w:rsidDel="00000000" w:rsidP="00000000" w:rsidRDefault="00000000" w:rsidRPr="00000000" w14:paraId="000000B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B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B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B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HTS</w:t>
            </w:r>
          </w:p>
        </w:tc>
        <w:tc>
          <w:tcPr/>
          <w:p w:rsidR="00000000" w:rsidDel="00000000" w:rsidP="00000000" w:rsidRDefault="00000000" w:rsidRPr="00000000" w14:paraId="000000B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Staffing and Classification Branch, Talent Acquisition Division, Office of Human Capital</w:t>
            </w:r>
          </w:p>
        </w:tc>
        <w:tc>
          <w:tcPr/>
          <w:p w:rsidR="00000000" w:rsidDel="00000000" w:rsidP="00000000" w:rsidRDefault="00000000" w:rsidRPr="00000000" w14:paraId="000000B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B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B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B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LM</w:t>
            </w:r>
          </w:p>
        </w:tc>
        <w:tc>
          <w:tcPr/>
          <w:p w:rsidR="00000000" w:rsidDel="00000000" w:rsidP="00000000" w:rsidRDefault="00000000" w:rsidRPr="00000000" w14:paraId="000000C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Presidential Materials Division; Legislation Archives, Presidential Libraries, and Museum Services</w:t>
            </w:r>
          </w:p>
        </w:tc>
        <w:tc>
          <w:tcPr/>
          <w:p w:rsidR="00000000" w:rsidDel="00000000" w:rsidP="00000000" w:rsidRDefault="00000000" w:rsidRPr="00000000" w14:paraId="000000C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C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C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C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LP</w:t>
            </w:r>
          </w:p>
        </w:tc>
        <w:tc>
          <w:tcPr/>
          <w:p w:rsidR="00000000" w:rsidDel="00000000" w:rsidP="00000000" w:rsidRDefault="00000000" w:rsidRPr="00000000" w14:paraId="000000C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Office of Presidential Libraries; Legislation Archives, Presidential Libraries, and Museum Services</w:t>
            </w:r>
          </w:p>
        </w:tc>
        <w:tc>
          <w:tcPr/>
          <w:p w:rsidR="00000000" w:rsidDel="00000000" w:rsidP="00000000" w:rsidRDefault="00000000" w:rsidRPr="00000000" w14:paraId="000000C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C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C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C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LP-RN</w:t>
            </w:r>
          </w:p>
        </w:tc>
        <w:tc>
          <w:tcPr/>
          <w:p w:rsidR="00000000" w:rsidDel="00000000" w:rsidP="00000000" w:rsidRDefault="00000000" w:rsidRPr="00000000" w14:paraId="000000C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Richard M. Nixon Library and Museum; Legislation Archives, Presidential Libraries, and Museum Services</w:t>
            </w:r>
          </w:p>
        </w:tc>
        <w:tc>
          <w:tcPr/>
          <w:p w:rsidR="00000000" w:rsidDel="00000000" w:rsidP="00000000" w:rsidRDefault="00000000" w:rsidRPr="00000000" w14:paraId="000000C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C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C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C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NEEO</w:t>
            </w:r>
          </w:p>
        </w:tc>
        <w:tc>
          <w:tcPr/>
          <w:p w:rsidR="00000000" w:rsidDel="00000000" w:rsidP="00000000" w:rsidRDefault="00000000" w:rsidRPr="00000000" w14:paraId="000000C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Equal Employment Opportunity Office</w:t>
            </w:r>
          </w:p>
        </w:tc>
        <w:tc>
          <w:tcPr/>
          <w:p w:rsidR="00000000" w:rsidDel="00000000" w:rsidP="00000000" w:rsidRDefault="00000000" w:rsidRPr="00000000" w14:paraId="000000D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D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D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D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NGC</w:t>
            </w:r>
          </w:p>
        </w:tc>
        <w:tc>
          <w:tcPr/>
          <w:p w:rsidR="00000000" w:rsidDel="00000000" w:rsidP="00000000" w:rsidRDefault="00000000" w:rsidRPr="00000000" w14:paraId="000000D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Office of General Counsel</w:t>
            </w:r>
          </w:p>
        </w:tc>
        <w:tc>
          <w:tcPr/>
          <w:p w:rsidR="00000000" w:rsidDel="00000000" w:rsidP="00000000" w:rsidRDefault="00000000" w:rsidRPr="00000000" w14:paraId="000000D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D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D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D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w:t>
            </w:r>
          </w:p>
        </w:tc>
        <w:tc>
          <w:tcPr/>
          <w:p w:rsidR="00000000" w:rsidDel="00000000" w:rsidP="00000000" w:rsidRDefault="00000000" w:rsidRPr="00000000" w14:paraId="000000D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Research Services</w:t>
            </w:r>
          </w:p>
        </w:tc>
        <w:tc>
          <w:tcPr/>
          <w:p w:rsidR="00000000" w:rsidDel="00000000" w:rsidP="00000000" w:rsidRDefault="00000000" w:rsidRPr="00000000" w14:paraId="000000D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D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D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D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RD</w:t>
            </w:r>
          </w:p>
        </w:tc>
        <w:tc>
          <w:tcPr/>
          <w:p w:rsidR="00000000" w:rsidDel="00000000" w:rsidP="00000000" w:rsidRDefault="00000000" w:rsidRPr="00000000" w14:paraId="000000D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Access Coordinator - Washington, DC, Research Services</w:t>
            </w:r>
          </w:p>
        </w:tc>
        <w:tc>
          <w:tcPr/>
          <w:p w:rsidR="00000000" w:rsidDel="00000000" w:rsidP="00000000" w:rsidRDefault="00000000" w:rsidRPr="00000000" w14:paraId="000000D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E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E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E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RDSC</w:t>
            </w:r>
          </w:p>
        </w:tc>
        <w:tc>
          <w:tcPr/>
          <w:p w:rsidR="00000000" w:rsidDel="00000000" w:rsidP="00000000" w:rsidRDefault="00000000" w:rsidRPr="00000000" w14:paraId="000000E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Cartographic Branch, Special Media Records Division, Research Services</w:t>
            </w:r>
          </w:p>
        </w:tc>
        <w:tc>
          <w:tcPr/>
          <w:p w:rsidR="00000000" w:rsidDel="00000000" w:rsidP="00000000" w:rsidRDefault="00000000" w:rsidRPr="00000000" w14:paraId="000000E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E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E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E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RDT2</w:t>
            </w:r>
          </w:p>
        </w:tc>
        <w:tc>
          <w:tcPr/>
          <w:p w:rsidR="00000000" w:rsidDel="00000000" w:rsidP="00000000" w:rsidRDefault="00000000" w:rsidRPr="00000000" w14:paraId="000000E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Textual Reference Archives II Branch, Textual Records Division, Research Services</w:t>
            </w:r>
          </w:p>
        </w:tc>
        <w:tc>
          <w:tcPr/>
          <w:p w:rsidR="00000000" w:rsidDel="00000000" w:rsidP="00000000" w:rsidRDefault="00000000" w:rsidRPr="00000000" w14:paraId="000000E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E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E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E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RDTP</w:t>
            </w:r>
          </w:p>
        </w:tc>
        <w:tc>
          <w:tcPr/>
          <w:p w:rsidR="00000000" w:rsidDel="00000000" w:rsidP="00000000" w:rsidRDefault="00000000" w:rsidRPr="00000000" w14:paraId="000000E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Textual Processing Branch, Textual Records Division, Research Services</w:t>
            </w:r>
          </w:p>
        </w:tc>
        <w:tc>
          <w:tcPr/>
          <w:p w:rsidR="00000000" w:rsidDel="00000000" w:rsidP="00000000" w:rsidRDefault="00000000" w:rsidRPr="00000000" w14:paraId="000000E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E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F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F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RE</w:t>
            </w:r>
          </w:p>
        </w:tc>
        <w:tc>
          <w:tcPr/>
          <w:p w:rsidR="00000000" w:rsidDel="00000000" w:rsidP="00000000" w:rsidRDefault="00000000" w:rsidRPr="00000000" w14:paraId="000000F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Access Coordinator – East, Research Services</w:t>
            </w:r>
          </w:p>
        </w:tc>
        <w:tc>
          <w:tcPr/>
          <w:p w:rsidR="00000000" w:rsidDel="00000000" w:rsidP="00000000" w:rsidRDefault="00000000" w:rsidRPr="00000000" w14:paraId="000000F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F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F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F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RE-NY</w:t>
            </w:r>
          </w:p>
        </w:tc>
        <w:tc>
          <w:tcPr/>
          <w:p w:rsidR="00000000" w:rsidDel="00000000" w:rsidP="00000000" w:rsidRDefault="00000000" w:rsidRPr="00000000" w14:paraId="000000F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Archival Operations - New York City, Research Services</w:t>
            </w:r>
          </w:p>
        </w:tc>
        <w:tc>
          <w:tcPr/>
          <w:p w:rsidR="00000000" w:rsidDel="00000000" w:rsidP="00000000" w:rsidRDefault="00000000" w:rsidRPr="00000000" w14:paraId="000000F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F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F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0F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RM-FW</w:t>
            </w:r>
          </w:p>
        </w:tc>
        <w:tc>
          <w:tcPr/>
          <w:p w:rsidR="00000000" w:rsidDel="00000000" w:rsidP="00000000" w:rsidRDefault="00000000" w:rsidRPr="00000000" w14:paraId="000000F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Archival Operations - Fort Worth, Research Services</w:t>
            </w:r>
          </w:p>
        </w:tc>
        <w:tc>
          <w:tcPr/>
          <w:p w:rsidR="00000000" w:rsidDel="00000000" w:rsidP="00000000" w:rsidRDefault="00000000" w:rsidRPr="00000000" w14:paraId="000000F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0F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0F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10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RM-KC</w:t>
            </w:r>
          </w:p>
        </w:tc>
        <w:tc>
          <w:tcPr/>
          <w:p w:rsidR="00000000" w:rsidDel="00000000" w:rsidP="00000000" w:rsidRDefault="00000000" w:rsidRPr="00000000" w14:paraId="0000010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Archival Operations - Kansas City, Research Services</w:t>
            </w:r>
          </w:p>
        </w:tc>
        <w:tc>
          <w:tcPr/>
          <w:p w:rsidR="00000000" w:rsidDel="00000000" w:rsidP="00000000" w:rsidRDefault="00000000" w:rsidRPr="00000000" w14:paraId="0000010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10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10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10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RW-SE</w:t>
            </w:r>
          </w:p>
        </w:tc>
        <w:tc>
          <w:tcPr/>
          <w:p w:rsidR="00000000" w:rsidDel="00000000" w:rsidP="00000000" w:rsidRDefault="00000000" w:rsidRPr="00000000" w14:paraId="0000010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Archival Operations – Seattle, Research Services</w:t>
            </w:r>
          </w:p>
        </w:tc>
        <w:tc>
          <w:tcPr/>
          <w:p w:rsidR="00000000" w:rsidDel="00000000" w:rsidP="00000000" w:rsidRDefault="00000000" w:rsidRPr="00000000" w14:paraId="0000010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10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10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10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RX</w:t>
            </w:r>
          </w:p>
        </w:tc>
        <w:tc>
          <w:tcPr/>
          <w:p w:rsidR="00000000" w:rsidDel="00000000" w:rsidP="00000000" w:rsidRDefault="00000000" w:rsidRPr="00000000" w14:paraId="0000010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Preservation Programs Division, Research Services</w:t>
            </w:r>
          </w:p>
        </w:tc>
        <w:tc>
          <w:tcPr/>
          <w:p w:rsidR="00000000" w:rsidDel="00000000" w:rsidP="00000000" w:rsidRDefault="00000000" w:rsidRPr="00000000" w14:paraId="0000010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10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10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10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V</w:t>
            </w:r>
          </w:p>
        </w:tc>
        <w:tc>
          <w:tcPr/>
          <w:p w:rsidR="00000000" w:rsidDel="00000000" w:rsidP="00000000" w:rsidRDefault="00000000" w:rsidRPr="00000000" w14:paraId="0000011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Office of Innovation</w:t>
            </w:r>
          </w:p>
        </w:tc>
        <w:tc>
          <w:tcPr/>
          <w:p w:rsidR="00000000" w:rsidDel="00000000" w:rsidP="00000000" w:rsidRDefault="00000000" w:rsidRPr="00000000" w14:paraId="0000011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11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11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11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VES</w:t>
            </w:r>
          </w:p>
        </w:tc>
        <w:tc>
          <w:tcPr/>
          <w:p w:rsidR="00000000" w:rsidDel="00000000" w:rsidP="00000000" w:rsidRDefault="00000000" w:rsidRPr="00000000" w14:paraId="0000011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Web and Social Media Branch, Digital Engagement Division, Office of Innovation</w:t>
            </w:r>
          </w:p>
        </w:tc>
        <w:tc>
          <w:tcPr/>
          <w:p w:rsidR="00000000" w:rsidDel="00000000" w:rsidP="00000000" w:rsidRDefault="00000000" w:rsidRPr="00000000" w14:paraId="0000011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11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11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11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Z</w:t>
            </w:r>
          </w:p>
        </w:tc>
        <w:tc>
          <w:tcPr/>
          <w:p w:rsidR="00000000" w:rsidDel="00000000" w:rsidP="00000000" w:rsidRDefault="00000000" w:rsidRPr="00000000" w14:paraId="0000011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Office of the Chief Acquisitions Officer</w:t>
            </w:r>
          </w:p>
        </w:tc>
        <w:tc>
          <w:tcPr/>
          <w:p w:rsidR="00000000" w:rsidDel="00000000" w:rsidP="00000000" w:rsidRDefault="00000000" w:rsidRPr="00000000" w14:paraId="0000011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11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11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11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w:t>
            </w:r>
          </w:p>
        </w:tc>
        <w:tc>
          <w:tcPr/>
          <w:p w:rsidR="00000000" w:rsidDel="00000000" w:rsidP="00000000" w:rsidRDefault="00000000" w:rsidRPr="00000000" w14:paraId="0000011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Information Services</w:t>
            </w:r>
          </w:p>
        </w:tc>
        <w:tc>
          <w:tcPr/>
          <w:p w:rsidR="00000000" w:rsidDel="00000000" w:rsidP="00000000" w:rsidRDefault="00000000" w:rsidRPr="00000000" w14:paraId="0000012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12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12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12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IC</w:t>
            </w:r>
          </w:p>
        </w:tc>
        <w:tc>
          <w:tcPr/>
          <w:p w:rsidR="00000000" w:rsidDel="00000000" w:rsidP="00000000" w:rsidRDefault="00000000" w:rsidRPr="00000000" w14:paraId="0000012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Services and Compliance Division, Information Services</w:t>
            </w:r>
          </w:p>
        </w:tc>
        <w:tc>
          <w:tcPr/>
          <w:p w:rsidR="00000000" w:rsidDel="00000000" w:rsidP="00000000" w:rsidRDefault="00000000" w:rsidRPr="00000000" w14:paraId="0000012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12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12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12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IDM</w:t>
            </w:r>
          </w:p>
        </w:tc>
        <w:tc>
          <w:tcPr/>
          <w:p w:rsidR="00000000" w:rsidDel="00000000" w:rsidP="00000000" w:rsidRDefault="00000000" w:rsidRPr="00000000" w14:paraId="0000012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Data Management Branch</w:t>
            </w:r>
          </w:p>
        </w:tc>
        <w:tc>
          <w:tcPr/>
          <w:p w:rsidR="00000000" w:rsidDel="00000000" w:rsidP="00000000" w:rsidRDefault="00000000" w:rsidRPr="00000000" w14:paraId="0000012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12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 of PMRS 2.0.</w:t>
            </w:r>
          </w:p>
        </w:tc>
        <w:tc>
          <w:tcPr/>
          <w:p w:rsidR="00000000" w:rsidDel="00000000" w:rsidP="00000000" w:rsidRDefault="00000000" w:rsidRPr="00000000" w14:paraId="0000012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To obtain accurate information about the performance of the organizational units.</w:t>
            </w:r>
          </w:p>
        </w:tc>
      </w:tr>
      <w:tr>
        <w:tc>
          <w:tcPr/>
          <w:p w:rsidR="00000000" w:rsidDel="00000000" w:rsidP="00000000" w:rsidRDefault="00000000" w:rsidRPr="00000000" w14:paraId="0000012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IG</w:t>
            </w:r>
          </w:p>
        </w:tc>
        <w:tc>
          <w:tcPr/>
          <w:p w:rsidR="00000000" w:rsidDel="00000000" w:rsidP="00000000" w:rsidRDefault="00000000" w:rsidRPr="00000000" w14:paraId="0000012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Program Management Division, Information Services</w:t>
            </w:r>
          </w:p>
        </w:tc>
        <w:tc>
          <w:tcPr/>
          <w:p w:rsidR="00000000" w:rsidDel="00000000" w:rsidP="00000000" w:rsidRDefault="00000000" w:rsidRPr="00000000" w14:paraId="0000012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13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Project within cost, schedule, and performance criteria</w:t>
            </w:r>
          </w:p>
        </w:tc>
        <w:tc>
          <w:tcPr/>
          <w:p w:rsidR="00000000" w:rsidDel="00000000" w:rsidP="00000000" w:rsidRDefault="00000000" w:rsidRPr="00000000" w14:paraId="0000013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Project success</w:t>
            </w:r>
          </w:p>
        </w:tc>
      </w:tr>
      <w:tr>
        <w:tc>
          <w:tcPr/>
          <w:p w:rsidR="00000000" w:rsidDel="00000000" w:rsidP="00000000" w:rsidRDefault="00000000" w:rsidRPr="00000000" w14:paraId="0000013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IJ</w:t>
            </w:r>
          </w:p>
        </w:tc>
        <w:tc>
          <w:tcPr/>
          <w:p w:rsidR="00000000" w:rsidDel="00000000" w:rsidP="00000000" w:rsidRDefault="00000000" w:rsidRPr="00000000" w14:paraId="0000013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IT Project Management Division, Information Services</w:t>
            </w:r>
          </w:p>
        </w:tc>
        <w:tc>
          <w:tcPr/>
          <w:p w:rsidR="00000000" w:rsidDel="00000000" w:rsidP="00000000" w:rsidRDefault="00000000" w:rsidRPr="00000000" w14:paraId="0000013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13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Project within cost, schedule, and performance criteria</w:t>
            </w:r>
          </w:p>
        </w:tc>
        <w:tc>
          <w:tcPr/>
          <w:p w:rsidR="00000000" w:rsidDel="00000000" w:rsidP="00000000" w:rsidRDefault="00000000" w:rsidRPr="00000000" w14:paraId="0000013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Project success</w:t>
            </w:r>
          </w:p>
        </w:tc>
      </w:tr>
      <w:tr>
        <w:tc>
          <w:tcPr/>
          <w:p w:rsidR="00000000" w:rsidDel="00000000" w:rsidP="00000000" w:rsidRDefault="00000000" w:rsidRPr="00000000" w14:paraId="0000013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IR</w:t>
            </w:r>
          </w:p>
        </w:tc>
        <w:tc>
          <w:tcPr/>
          <w:p w:rsidR="00000000" w:rsidDel="00000000" w:rsidP="00000000" w:rsidRDefault="00000000" w:rsidRPr="00000000" w14:paraId="0000013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Requirements Management Division, Information Services</w:t>
            </w:r>
          </w:p>
        </w:tc>
        <w:tc>
          <w:tcPr/>
          <w:p w:rsidR="00000000" w:rsidDel="00000000" w:rsidP="00000000" w:rsidRDefault="00000000" w:rsidRPr="00000000" w14:paraId="0000013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Secondary</w:t>
            </w:r>
          </w:p>
        </w:tc>
        <w:tc>
          <w:tcPr/>
          <w:p w:rsidR="00000000" w:rsidDel="00000000" w:rsidP="00000000" w:rsidRDefault="00000000" w:rsidRPr="00000000" w14:paraId="0000013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Quality of the requirements</w:t>
            </w:r>
          </w:p>
        </w:tc>
        <w:tc>
          <w:tcPr/>
          <w:p w:rsidR="00000000" w:rsidDel="00000000" w:rsidP="00000000" w:rsidRDefault="00000000" w:rsidRPr="00000000" w14:paraId="0000013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Support of IT governance processes</w:t>
            </w:r>
          </w:p>
        </w:tc>
      </w:tr>
    </w:tbl>
    <w:p w:rsidR="00000000" w:rsidDel="00000000" w:rsidP="00000000" w:rsidRDefault="00000000" w:rsidRPr="00000000" w14:paraId="0000013C">
      <w:pPr>
        <w:pStyle w:val="Heading1"/>
        <w:numPr>
          <w:ilvl w:val="0"/>
          <w:numId w:val="1"/>
        </w:numPr>
        <w:tabs>
          <w:tab w:val="left" w:pos="360"/>
        </w:tabs>
        <w:ind w:left="0" w:firstLine="0"/>
        <w:rPr/>
      </w:pPr>
      <w:bookmarkStart w:colFirst="0" w:colLast="0" w:name="_2jxsxqh" w:id="17"/>
      <w:bookmarkEnd w:id="17"/>
      <w:r w:rsidDel="00000000" w:rsidR="00000000" w:rsidRPr="00000000">
        <w:br w:type="page"/>
      </w:r>
      <w:r w:rsidDel="00000000" w:rsidR="00000000" w:rsidRPr="00000000">
        <w:rPr>
          <w:rtl w:val="0"/>
        </w:rPr>
        <w:t xml:space="preserve">Stakeholder Requirements</w:t>
      </w:r>
    </w:p>
    <w:p w:rsidR="00000000" w:rsidDel="00000000" w:rsidP="00000000" w:rsidRDefault="00000000" w:rsidRPr="00000000" w14:paraId="0000013D">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section describes how the PMRS 2.0 stakeholder requirements are organized and provides access to the stakeholder requirements via an embedded Microsoft® Excel® object.</w:t>
      </w:r>
    </w:p>
    <w:p w:rsidR="00000000" w:rsidDel="00000000" w:rsidP="00000000" w:rsidRDefault="00000000" w:rsidRPr="00000000" w14:paraId="0000013E">
      <w:pPr>
        <w:pStyle w:val="Heading2"/>
        <w:numPr>
          <w:ilvl w:val="1"/>
          <w:numId w:val="1"/>
        </w:numPr>
        <w:tabs>
          <w:tab w:val="left" w:pos="540"/>
        </w:tabs>
        <w:ind w:left="0" w:firstLine="0"/>
        <w:rPr/>
      </w:pPr>
      <w:bookmarkStart w:colFirst="0" w:colLast="0" w:name="_z337ya" w:id="18"/>
      <w:bookmarkEnd w:id="18"/>
      <w:r w:rsidDel="00000000" w:rsidR="00000000" w:rsidRPr="00000000">
        <w:rPr>
          <w:rtl w:val="0"/>
        </w:rPr>
        <w:t xml:space="preserve">Attributes</w:t>
      </w:r>
    </w:p>
    <w:p w:rsidR="00000000" w:rsidDel="00000000" w:rsidP="00000000" w:rsidRDefault="00000000" w:rsidRPr="00000000" w14:paraId="0000013F">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section describes some of the attributes of a stakeholder requirement utilized for PMRS 2.0.</w:t>
      </w:r>
    </w:p>
    <w:p w:rsidR="00000000" w:rsidDel="00000000" w:rsidP="00000000" w:rsidRDefault="00000000" w:rsidRPr="00000000" w14:paraId="00000140">
      <w:pPr>
        <w:pStyle w:val="Heading3"/>
        <w:numPr>
          <w:ilvl w:val="2"/>
          <w:numId w:val="6"/>
        </w:numPr>
        <w:ind w:left="0" w:firstLine="0"/>
        <w:rPr/>
      </w:pPr>
      <w:bookmarkStart w:colFirst="0" w:colLast="0" w:name="_3j2qqm3" w:id="19"/>
      <w:bookmarkEnd w:id="19"/>
      <w:r w:rsidDel="00000000" w:rsidR="00000000" w:rsidRPr="00000000">
        <w:rPr>
          <w:rtl w:val="0"/>
        </w:rPr>
        <w:t xml:space="preserve">Types</w:t>
      </w:r>
    </w:p>
    <w:p w:rsidR="00000000" w:rsidDel="00000000" w:rsidP="00000000" w:rsidRDefault="00000000" w:rsidRPr="00000000" w14:paraId="00000141">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Two types of requirements are identified for PMRS 2.0, as specified in Table 3-1.</w:t>
      </w:r>
    </w:p>
    <w:p w:rsidR="00000000" w:rsidDel="00000000" w:rsidP="00000000" w:rsidRDefault="00000000" w:rsidRPr="00000000" w14:paraId="00000142">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bookmarkStart w:colFirst="0" w:colLast="0" w:name="_1y810tw" w:id="20"/>
      <w:bookmarkEnd w:id="20"/>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Table 3-1: Types of Requirements</w:t>
      </w:r>
    </w:p>
    <w:tbl>
      <w:tblPr>
        <w:tblStyle w:val="Table3"/>
        <w:tblW w:w="9475.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2160"/>
        <w:gridCol w:w="7315"/>
        <w:tblGridChange w:id="0">
          <w:tblGrid>
            <w:gridCol w:w="2160"/>
            <w:gridCol w:w="7315"/>
          </w:tblGrid>
        </w:tblGridChange>
      </w:tblGrid>
      <w:tr>
        <w:tc>
          <w:tcPr>
            <w:shd w:fill="1f497d" w:val="clear"/>
          </w:tcPr>
          <w:p w:rsidR="00000000" w:rsidDel="00000000" w:rsidP="00000000" w:rsidRDefault="00000000" w:rsidRPr="00000000" w14:paraId="0000014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Category</w:t>
            </w:r>
          </w:p>
        </w:tc>
        <w:tc>
          <w:tcPr>
            <w:shd w:fill="1f497d" w:val="clear"/>
          </w:tcPr>
          <w:p w:rsidR="00000000" w:rsidDel="00000000" w:rsidP="00000000" w:rsidRDefault="00000000" w:rsidRPr="00000000" w14:paraId="0000014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Description</w:t>
            </w:r>
          </w:p>
        </w:tc>
      </w:tr>
      <w:tr>
        <w:tc>
          <w:tcPr/>
          <w:p w:rsidR="00000000" w:rsidDel="00000000" w:rsidP="00000000" w:rsidRDefault="00000000" w:rsidRPr="00000000" w14:paraId="0000014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Business</w:t>
            </w:r>
          </w:p>
        </w:tc>
        <w:tc>
          <w:tcPr/>
          <w:p w:rsidR="00000000" w:rsidDel="00000000" w:rsidP="00000000" w:rsidRDefault="00000000" w:rsidRPr="00000000" w14:paraId="00000146">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Business requirements define the critical activities that a project that must perform to meet the organization's objective(s) while remaining solution independent (i.e., "what the organization wants or needs to be able to do once the project is completed").</w:t>
            </w:r>
          </w:p>
          <w:p w:rsidR="00000000" w:rsidDel="00000000" w:rsidP="00000000" w:rsidRDefault="00000000" w:rsidRPr="00000000" w14:paraId="00000147">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Business requirements are included with the stakeholder requirements to provide traceability and to promote a better understanding of the stakeholder requirements by making the associated business requirements more accessible. The business requirements typically come from the project's business case.</w:t>
            </w:r>
          </w:p>
          <w:p w:rsidR="00000000" w:rsidDel="00000000" w:rsidP="00000000" w:rsidRDefault="00000000" w:rsidRPr="00000000" w14:paraId="00000148">
            <w:pPr>
              <w:keepNext w:val="0"/>
              <w:keepLines w:val="0"/>
              <w:widowControl w:val="1"/>
              <w:pBdr>
                <w:top w:space="0" w:sz="0" w:val="nil"/>
                <w:left w:space="0" w:sz="0" w:val="nil"/>
                <w:bottom w:space="0" w:sz="0" w:val="nil"/>
                <w:right w:space="0" w:sz="0" w:val="nil"/>
                <w:between w:space="0" w:sz="0" w:val="nil"/>
              </w:pBdr>
              <w:shd w:fill="auto" w:val="clear"/>
              <w:tabs>
                <w:tab w:val="left" w:pos="939"/>
              </w:tabs>
              <w:spacing w:after="0" w:before="0" w:line="276" w:lineRule="auto"/>
              <w:ind w:left="0" w:right="35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Note: It may not be appropriate to include the business requirements with the stakeholder requirements because of various issues, such as availability. However, it is highly recommended that they be included when possible.</w:t>
            </w:r>
          </w:p>
        </w:tc>
      </w:tr>
      <w:tr>
        <w:tc>
          <w:tcPr/>
          <w:p w:rsidR="00000000" w:rsidDel="00000000" w:rsidP="00000000" w:rsidRDefault="00000000" w:rsidRPr="00000000" w14:paraId="0000014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Stakeholder</w:t>
            </w:r>
          </w:p>
        </w:tc>
        <w:tc>
          <w:tcPr/>
          <w:p w:rsidR="00000000" w:rsidDel="00000000" w:rsidP="00000000" w:rsidRDefault="00000000" w:rsidRPr="00000000" w14:paraId="0000014A">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Stakeholder requirements define decisions about business needs, goals, and objectives from the perspective of the stakeholders and their role in the business.</w:t>
            </w:r>
          </w:p>
          <w:p w:rsidR="00000000" w:rsidDel="00000000" w:rsidP="00000000" w:rsidRDefault="00000000" w:rsidRPr="00000000" w14:paraId="0000014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Stakeholder requirements are expected to decompose the business requirements.</w:t>
            </w:r>
          </w:p>
        </w:tc>
      </w:tr>
    </w:tbl>
    <w:p w:rsidR="00000000" w:rsidDel="00000000" w:rsidP="00000000" w:rsidRDefault="00000000" w:rsidRPr="00000000" w14:paraId="0000014C">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4D">
      <w:pPr>
        <w:pStyle w:val="Heading3"/>
        <w:numPr>
          <w:ilvl w:val="2"/>
          <w:numId w:val="6"/>
        </w:numPr>
        <w:ind w:left="0" w:firstLine="0"/>
        <w:rPr/>
      </w:pPr>
      <w:bookmarkStart w:colFirst="0" w:colLast="0" w:name="_4i7ojhp" w:id="21"/>
      <w:bookmarkEnd w:id="21"/>
      <w:r w:rsidDel="00000000" w:rsidR="00000000" w:rsidRPr="00000000">
        <w:rPr>
          <w:rtl w:val="0"/>
        </w:rPr>
        <w:t xml:space="preserve">Categories</w:t>
      </w:r>
    </w:p>
    <w:p w:rsidR="00000000" w:rsidDel="00000000" w:rsidP="00000000" w:rsidRDefault="00000000" w:rsidRPr="00000000" w14:paraId="0000014E">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Four categories of requirements are identified for PMRS 2.0, as specified in Table 3-2.</w:t>
      </w:r>
    </w:p>
    <w:p w:rsidR="00000000" w:rsidDel="00000000" w:rsidP="00000000" w:rsidRDefault="00000000" w:rsidRPr="00000000" w14:paraId="0000014F">
      <w:pPr>
        <w:keepNext w:val="1"/>
        <w:keepLines w:val="0"/>
        <w:widowControl w:val="1"/>
        <w:pBdr>
          <w:top w:space="0" w:sz="0" w:val="nil"/>
          <w:left w:space="0" w:sz="0" w:val="nil"/>
          <w:bottom w:space="0" w:sz="0" w:val="nil"/>
          <w:right w:space="0" w:sz="0" w:val="nil"/>
          <w:between w:space="0" w:sz="0" w:val="nil"/>
        </w:pBdr>
        <w:shd w:fill="auto" w:val="clear"/>
        <w:spacing w:after="120" w:before="360" w:line="240" w:lineRule="auto"/>
        <w:ind w:left="0" w:right="0" w:firstLine="0"/>
        <w:jc w:val="center"/>
        <w:rPr>
          <w:rFonts w:ascii="Calibri" w:cs="Calibri" w:eastAsia="Calibri" w:hAnsi="Calibri"/>
          <w:b w:val="1"/>
          <w:i w:val="0"/>
          <w:smallCaps w:val="0"/>
          <w:strike w:val="0"/>
          <w:color w:val="4f81bc"/>
          <w:sz w:val="22"/>
          <w:szCs w:val="22"/>
          <w:u w:val="none"/>
          <w:shd w:fill="auto" w:val="clear"/>
          <w:vertAlign w:val="baseline"/>
        </w:rPr>
      </w:pPr>
      <w:bookmarkStart w:colFirst="0" w:colLast="0" w:name="_2xcytpi" w:id="22"/>
      <w:bookmarkEnd w:id="22"/>
      <w:r w:rsidDel="00000000" w:rsidR="00000000" w:rsidRPr="00000000">
        <w:rPr>
          <w:rFonts w:ascii="Calibri" w:cs="Calibri" w:eastAsia="Calibri" w:hAnsi="Calibri"/>
          <w:b w:val="1"/>
          <w:i w:val="0"/>
          <w:smallCaps w:val="0"/>
          <w:strike w:val="0"/>
          <w:color w:val="4f81bc"/>
          <w:sz w:val="22"/>
          <w:szCs w:val="22"/>
          <w:u w:val="none"/>
          <w:shd w:fill="auto" w:val="clear"/>
          <w:vertAlign w:val="baseline"/>
          <w:rtl w:val="0"/>
        </w:rPr>
        <w:t xml:space="preserve">Table 3-2: Categories of Requirements</w:t>
      </w:r>
    </w:p>
    <w:tbl>
      <w:tblPr>
        <w:tblStyle w:val="Table4"/>
        <w:tblW w:w="9475.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2160"/>
        <w:gridCol w:w="7315"/>
        <w:tblGridChange w:id="0">
          <w:tblGrid>
            <w:gridCol w:w="2160"/>
            <w:gridCol w:w="7315"/>
          </w:tblGrid>
        </w:tblGridChange>
      </w:tblGrid>
      <w:tr>
        <w:tc>
          <w:tcPr>
            <w:shd w:fill="1f497d" w:val="clear"/>
          </w:tcPr>
          <w:p w:rsidR="00000000" w:rsidDel="00000000" w:rsidP="00000000" w:rsidRDefault="00000000" w:rsidRPr="00000000" w14:paraId="0000015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Category</w:t>
            </w:r>
          </w:p>
        </w:tc>
        <w:tc>
          <w:tcPr>
            <w:shd w:fill="1f497d" w:val="clear"/>
          </w:tcPr>
          <w:p w:rsidR="00000000" w:rsidDel="00000000" w:rsidP="00000000" w:rsidRDefault="00000000" w:rsidRPr="00000000" w14:paraId="0000015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i w:val="0"/>
                <w:smallCaps w:val="0"/>
                <w:strike w:val="0"/>
                <w:color w:val="ffffff"/>
                <w:sz w:val="20"/>
                <w:szCs w:val="20"/>
                <w:u w:val="none"/>
                <w:shd w:fill="auto" w:val="clear"/>
                <w:vertAlign w:val="baseline"/>
              </w:rPr>
            </w:pPr>
            <w:r w:rsidDel="00000000" w:rsidR="00000000" w:rsidRPr="00000000">
              <w:rPr>
                <w:rFonts w:ascii="Calibri" w:cs="Calibri" w:eastAsia="Calibri" w:hAnsi="Calibri"/>
                <w:b w:val="1"/>
                <w:i w:val="0"/>
                <w:smallCaps w:val="0"/>
                <w:strike w:val="0"/>
                <w:color w:val="ffffff"/>
                <w:sz w:val="20"/>
                <w:szCs w:val="20"/>
                <w:u w:val="none"/>
                <w:shd w:fill="auto" w:val="clear"/>
                <w:vertAlign w:val="baseline"/>
                <w:rtl w:val="0"/>
              </w:rPr>
              <w:t xml:space="preserve">Description</w:t>
            </w:r>
          </w:p>
        </w:tc>
      </w:tr>
      <w:tr>
        <w:tc>
          <w:tcPr/>
          <w:p w:rsidR="00000000" w:rsidDel="00000000" w:rsidP="00000000" w:rsidRDefault="00000000" w:rsidRPr="00000000" w14:paraId="0000015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Constraints</w:t>
            </w:r>
          </w:p>
        </w:tc>
        <w:tc>
          <w:tcPr/>
          <w:p w:rsidR="00000000" w:rsidDel="00000000" w:rsidP="00000000" w:rsidRDefault="00000000" w:rsidRPr="00000000" w14:paraId="0000015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Constraints limit the options open to a designer of a solution by imposing immovable boundaries and limits (e.g., the system shall incorporate a legacy system element, or certain data shall be maintained in an online repository).</w:t>
            </w:r>
          </w:p>
        </w:tc>
      </w:tr>
      <w:tr>
        <w:tc>
          <w:tcPr/>
          <w:p w:rsidR="00000000" w:rsidDel="00000000" w:rsidP="00000000" w:rsidRDefault="00000000" w:rsidRPr="00000000" w14:paraId="0000015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Functional</w:t>
            </w:r>
          </w:p>
        </w:tc>
        <w:tc>
          <w:tcPr/>
          <w:p w:rsidR="00000000" w:rsidDel="00000000" w:rsidP="00000000" w:rsidRDefault="00000000" w:rsidRPr="00000000" w14:paraId="0000015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Functional requirements describe the system functions or tasks to be performed.</w:t>
            </w:r>
          </w:p>
        </w:tc>
      </w:tr>
      <w:tr>
        <w:tc>
          <w:tcPr/>
          <w:p w:rsidR="00000000" w:rsidDel="00000000" w:rsidP="00000000" w:rsidRDefault="00000000" w:rsidRPr="00000000" w14:paraId="0000015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Non-functional</w:t>
            </w:r>
          </w:p>
        </w:tc>
        <w:tc>
          <w:tcPr/>
          <w:p w:rsidR="00000000" w:rsidDel="00000000" w:rsidP="00000000" w:rsidRDefault="00000000" w:rsidRPr="00000000" w14:paraId="0000015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Non-functional requirements identify operational or system properties. They define how a system should be. Information Management, Availability, Backup and Recovery, Compatibility, Maintainability, Reliability, Transferability, Performance, Capacity, Scalability, Security, Usability, and User Interface requirements are examples of this type.</w:t>
            </w:r>
          </w:p>
        </w:tc>
      </w:tr>
      <w:tr>
        <w:tc>
          <w:tcPr/>
          <w:p w:rsidR="00000000" w:rsidDel="00000000" w:rsidP="00000000" w:rsidRDefault="00000000" w:rsidRPr="00000000" w14:paraId="0000015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N/A</w:t>
            </w:r>
          </w:p>
        </w:tc>
        <w:tc>
          <w:tcPr/>
          <w:p w:rsidR="00000000" w:rsidDel="00000000" w:rsidP="00000000" w:rsidRDefault="00000000" w:rsidRPr="00000000" w14:paraId="0000015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Used for Business requirements for purposes of completeness, i.e., to ensure that every requirement traces to a category. (Business requirements are not typically categorized.)</w:t>
            </w:r>
          </w:p>
        </w:tc>
      </w:tr>
    </w:tbl>
    <w:p w:rsidR="00000000" w:rsidDel="00000000" w:rsidP="00000000" w:rsidRDefault="00000000" w:rsidRPr="00000000" w14:paraId="0000015A">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5B">
      <w:pPr>
        <w:pStyle w:val="Heading2"/>
        <w:numPr>
          <w:ilvl w:val="1"/>
          <w:numId w:val="1"/>
        </w:numPr>
        <w:tabs>
          <w:tab w:val="left" w:pos="540"/>
        </w:tabs>
        <w:ind w:left="0" w:firstLine="0"/>
        <w:rPr/>
      </w:pPr>
      <w:bookmarkStart w:colFirst="0" w:colLast="0" w:name="_1ci93xb" w:id="23"/>
      <w:bookmarkEnd w:id="23"/>
      <w:r w:rsidDel="00000000" w:rsidR="00000000" w:rsidRPr="00000000">
        <w:rPr>
          <w:rtl w:val="0"/>
        </w:rPr>
        <w:t xml:space="preserve">Requirements</w:t>
      </w:r>
    </w:p>
    <w:p w:rsidR="00000000" w:rsidDel="00000000" w:rsidP="00000000" w:rsidRDefault="00000000" w:rsidRPr="00000000" w14:paraId="0000015C">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bookmarkStart w:colFirst="0" w:colLast="0" w:name="_3whwml4" w:id="24"/>
      <w:bookmarkEnd w:id="24"/>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PMRS 2.0 stakeholder requirements are maintained in Requirements Verification Traceability Matrix (RVTM) that is embedded in this document. To view the contents of this Microsoft</w:t>
      </w:r>
      <w:r w:rsidDel="00000000" w:rsidR="00000000" w:rsidRPr="00000000">
        <w:rPr>
          <w:rFonts w:ascii="Calibri" w:cs="Calibri" w:eastAsia="Calibri" w:hAnsi="Calibri"/>
          <w:b w:val="0"/>
          <w:i w:val="0"/>
          <w:smallCaps w:val="0"/>
          <w:strike w:val="0"/>
          <w:color w:val="000000"/>
          <w:sz w:val="22"/>
          <w:szCs w:val="22"/>
          <w:u w:val="none"/>
          <w:shd w:fill="auto" w:val="clear"/>
          <w:vertAlign w:val="superscript"/>
          <w:rtl w:val="0"/>
        </w:rPr>
        <w:t xml:space="preserv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Excel</w:t>
      </w:r>
      <w:r w:rsidDel="00000000" w:rsidR="00000000" w:rsidRPr="00000000">
        <w:rPr>
          <w:rFonts w:ascii="Calibri" w:cs="Calibri" w:eastAsia="Calibri" w:hAnsi="Calibri"/>
          <w:b w:val="0"/>
          <w:i w:val="0"/>
          <w:smallCaps w:val="0"/>
          <w:strike w:val="0"/>
          <w:color w:val="000000"/>
          <w:sz w:val="22"/>
          <w:szCs w:val="22"/>
          <w:u w:val="none"/>
          <w:shd w:fill="auto" w:val="clear"/>
          <w:vertAlign w:val="superscript"/>
          <w:rtl w:val="0"/>
        </w:rPr>
        <w:t xml:space="preserv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workbook, double-click the following icon.</w:t>
      </w:r>
    </w:p>
    <w:p w:rsidR="00000000" w:rsidDel="00000000" w:rsidP="00000000" w:rsidRDefault="00000000" w:rsidRPr="00000000" w14:paraId="0000015D">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bookmarkStart w:colFirst="0" w:colLast="0" w:name="_2bn6wsx" w:id="25"/>
      <w:bookmarkEnd w:id="25"/>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drawing>
          <wp:inline distB="0" distT="0" distL="114300" distR="114300">
            <wp:extent cx="974725" cy="629920"/>
            <wp:effectExtent b="0" l="0" r="0" t="0"/>
            <wp:docPr id="3" name="image2.png"/>
            <a:graphic>
              <a:graphicData uri="http://schemas.openxmlformats.org/drawingml/2006/picture">
                <pic:pic>
                  <pic:nvPicPr>
                    <pic:cNvPr id="0" name="image2.png"/>
                    <pic:cNvPicPr preferRelativeResize="0"/>
                  </pic:nvPicPr>
                  <pic:blipFill>
                    <a:blip r:embed="rId16"/>
                    <a:srcRect b="0" l="0" r="0" t="0"/>
                    <a:stretch>
                      <a:fillRect/>
                    </a:stretch>
                  </pic:blipFill>
                  <pic:spPr>
                    <a:xfrm>
                      <a:off x="0" y="0"/>
                      <a:ext cx="974725" cy="629920"/>
                    </a:xfrm>
                    <a:prstGeom prst="rect"/>
                    <a:ln/>
                  </pic:spPr>
                </pic:pic>
              </a:graphicData>
            </a:graphic>
          </wp:inline>
        </w:drawing>
      </w:r>
      <w:r w:rsidDel="00000000" w:rsidR="00000000" w:rsidRPr="00000000">
        <w:rPr>
          <w:rtl w:val="0"/>
        </w:rPr>
      </w:r>
    </w:p>
    <w:p w:rsidR="00000000" w:rsidDel="00000000" w:rsidP="00000000" w:rsidRDefault="00000000" w:rsidRPr="00000000" w14:paraId="0000015E">
      <w:pPr>
        <w:keepNext w:val="0"/>
        <w:keepLines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center"/>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 double-click to open ↑</w:t>
      </w:r>
    </w:p>
    <w:p w:rsidR="00000000" w:rsidDel="00000000" w:rsidP="00000000" w:rsidRDefault="00000000" w:rsidRPr="00000000" w14:paraId="0000015F">
      <w:pPr>
        <w:keepNext w:val="0"/>
        <w:keepLines w:val="0"/>
        <w:widowControl w:val="1"/>
        <w:pBdr>
          <w:top w:color="000000" w:space="1" w:sz="4" w:val="single"/>
          <w:left w:space="0" w:sz="0" w:val="nil"/>
          <w:bottom w:color="000000" w:space="1" w:sz="4" w:val="single"/>
          <w:right w:space="0" w:sz="0" w:val="nil"/>
          <w:between w:space="0" w:sz="0" w:val="nil"/>
        </w:pBdr>
        <w:shd w:fill="auto" w:val="clear"/>
        <w:spacing w:after="0" w:before="0" w:line="276" w:lineRule="auto"/>
        <w:ind w:left="2160" w:right="1800" w:firstLine="0"/>
        <w:jc w:val="center"/>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Note: You must have Microsoft Excel 2007 or newer to view the above workbook.</w:t>
      </w:r>
    </w:p>
    <w:p w:rsidR="00000000" w:rsidDel="00000000" w:rsidP="00000000" w:rsidRDefault="00000000" w:rsidRPr="00000000" w14:paraId="00000160">
      <w:pPr>
        <w:keepNext w:val="0"/>
        <w:keepLines w:val="0"/>
        <w:widowControl w:val="1"/>
        <w:pBdr>
          <w:top w:color="000000" w:space="1" w:sz="4" w:val="single"/>
          <w:left w:space="0" w:sz="0" w:val="nil"/>
          <w:bottom w:color="000000" w:space="1" w:sz="4" w:val="single"/>
          <w:right w:space="0" w:sz="0" w:val="nil"/>
          <w:between w:space="0" w:sz="0" w:val="nil"/>
        </w:pBdr>
        <w:shd w:fill="auto" w:val="clear"/>
        <w:spacing w:after="120" w:before="0" w:line="276" w:lineRule="auto"/>
        <w:ind w:left="2160" w:right="1800" w:firstLine="0"/>
        <w:jc w:val="center"/>
        <w:rPr>
          <w:rFonts w:ascii="Calibri" w:cs="Calibri" w:eastAsia="Calibri" w:hAnsi="Calibri"/>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The equivalent “viewing” application may also be used.</w:t>
      </w:r>
    </w:p>
    <w:p w:rsidR="00000000" w:rsidDel="00000000" w:rsidP="00000000" w:rsidRDefault="00000000" w:rsidRPr="00000000" w14:paraId="00000161">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RVTM workbook consists of two worksheets:</w:t>
      </w:r>
    </w:p>
    <w:p w:rsidR="00000000" w:rsidDel="00000000" w:rsidP="00000000" w:rsidRDefault="00000000" w:rsidRPr="00000000" w14:paraId="00000162">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Requirements</w:t>
      </w:r>
    </w:p>
    <w:p w:rsidR="00000000" w:rsidDel="00000000" w:rsidP="00000000" w:rsidRDefault="00000000" w:rsidRPr="00000000" w14:paraId="00000163">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108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worksheet contains the stakeholder requirement id (i.e., Req #), requirements text, and related information.</w:t>
      </w:r>
    </w:p>
    <w:p w:rsidR="00000000" w:rsidDel="00000000" w:rsidP="00000000" w:rsidRDefault="00000000" w:rsidRPr="00000000" w14:paraId="00000164">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108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contents of this worksheet are sorted in ascending order by “Req #”. Columns with a red header are required attributes. Columns with a blue header are optional attributes.</w:t>
      </w:r>
    </w:p>
    <w:p w:rsidR="00000000" w:rsidDel="00000000" w:rsidP="00000000" w:rsidRDefault="00000000" w:rsidRPr="00000000" w14:paraId="00000165">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Standard Values</w:t>
      </w:r>
    </w:p>
    <w:p w:rsidR="00000000" w:rsidDel="00000000" w:rsidP="00000000" w:rsidRDefault="00000000" w:rsidRPr="00000000" w14:paraId="00000166">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108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worksheet contains the lists of standard values that are used by the Requirements Management Division (IR) to instantiate drop-down lists for some of the columns of the Requirements worksheet.</w:t>
      </w:r>
    </w:p>
    <w:p w:rsidR="00000000" w:rsidDel="00000000" w:rsidP="00000000" w:rsidRDefault="00000000" w:rsidRPr="00000000" w14:paraId="00000167">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columns in the Requirements worksheet are defined as follows:</w:t>
      </w:r>
    </w:p>
    <w:p w:rsidR="00000000" w:rsidDel="00000000" w:rsidP="00000000" w:rsidRDefault="00000000" w:rsidRPr="00000000" w14:paraId="00000168">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Req #</w:t>
      </w:r>
    </w:p>
    <w:p w:rsidR="00000000" w:rsidDel="00000000" w:rsidP="00000000" w:rsidRDefault="00000000" w:rsidRPr="00000000" w14:paraId="00000169">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unique identifier for the requirement.</w:t>
      </w:r>
    </w:p>
    <w:p w:rsidR="00000000" w:rsidDel="00000000" w:rsidP="00000000" w:rsidRDefault="00000000" w:rsidRPr="00000000" w14:paraId="0000016A">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Requirement Text</w:t>
      </w:r>
    </w:p>
    <w:p w:rsidR="00000000" w:rsidDel="00000000" w:rsidP="00000000" w:rsidRDefault="00000000" w:rsidRPr="00000000" w14:paraId="0000016B">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text of the requirement.</w:t>
      </w:r>
    </w:p>
    <w:p w:rsidR="00000000" w:rsidDel="00000000" w:rsidP="00000000" w:rsidRDefault="00000000" w:rsidRPr="00000000" w14:paraId="0000016C">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Type</w:t>
      </w:r>
    </w:p>
    <w:p w:rsidR="00000000" w:rsidDel="00000000" w:rsidP="00000000" w:rsidRDefault="00000000" w:rsidRPr="00000000" w14:paraId="0000016D">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type of the requirement, such as "Business" or "Stakeholder". Refer to Table 3-1.</w:t>
      </w:r>
    </w:p>
    <w:p w:rsidR="00000000" w:rsidDel="00000000" w:rsidP="00000000" w:rsidRDefault="00000000" w:rsidRPr="00000000" w14:paraId="0000016E">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Category</w:t>
      </w:r>
    </w:p>
    <w:p w:rsidR="00000000" w:rsidDel="00000000" w:rsidP="00000000" w:rsidRDefault="00000000" w:rsidRPr="00000000" w14:paraId="0000016F">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category of the requirement, such as "Functional" or "Non-functional". Refer to Table 3-2.</w:t>
      </w:r>
    </w:p>
    <w:p w:rsidR="00000000" w:rsidDel="00000000" w:rsidP="00000000" w:rsidRDefault="00000000" w:rsidRPr="00000000" w14:paraId="00000170">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Feature</w:t>
      </w:r>
    </w:p>
    <w:p w:rsidR="00000000" w:rsidDel="00000000" w:rsidP="00000000" w:rsidRDefault="00000000" w:rsidRPr="00000000" w14:paraId="00000171">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high-level function, capability, feature or other grouping that has meaning for the stakeholders.</w:t>
      </w:r>
    </w:p>
    <w:p w:rsidR="00000000" w:rsidDel="00000000" w:rsidP="00000000" w:rsidRDefault="00000000" w:rsidRPr="00000000" w14:paraId="00000172">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Req Priority</w:t>
      </w:r>
    </w:p>
    <w:p w:rsidR="00000000" w:rsidDel="00000000" w:rsidP="00000000" w:rsidRDefault="00000000" w:rsidRPr="00000000" w14:paraId="00000173">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priority of the stakeholder requirement as assigned by the stakeholders.</w:t>
      </w:r>
    </w:p>
    <w:p w:rsidR="00000000" w:rsidDel="00000000" w:rsidP="00000000" w:rsidRDefault="00000000" w:rsidRPr="00000000" w14:paraId="00000174">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valid values for this column (MoSCoW) are recorded in Section 6 of Reference 1.3.2-2 and are reproduced below:</w:t>
      </w:r>
    </w:p>
    <w:p w:rsidR="00000000" w:rsidDel="00000000" w:rsidP="00000000" w:rsidRDefault="00000000" w:rsidRPr="00000000" w14:paraId="00000175">
      <w:pPr>
        <w:keepNext w:val="0"/>
        <w:keepLines w:val="0"/>
        <w:widowControl w:val="1"/>
        <w:pBdr>
          <w:top w:space="0" w:sz="0" w:val="nil"/>
          <w:left w:space="0" w:sz="0" w:val="nil"/>
          <w:bottom w:space="0" w:sz="0" w:val="nil"/>
          <w:right w:space="0" w:sz="0" w:val="nil"/>
          <w:between w:space="0" w:sz="0" w:val="nil"/>
        </w:pBdr>
        <w:shd w:fill="auto" w:val="clear"/>
        <w:tabs>
          <w:tab w:val="left" w:pos="1620"/>
        </w:tabs>
        <w:spacing w:after="120" w:before="0" w:line="276" w:lineRule="auto"/>
        <w:ind w:left="1620" w:right="0" w:hanging="90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Must</w:t>
      </w:r>
      <w:r w:rsidDel="00000000" w:rsidR="00000000" w:rsidRPr="00000000">
        <w:rPr>
          <w:rFonts w:ascii="Calibri" w:cs="Calibri" w:eastAsia="Calibri" w:hAnsi="Calibri"/>
          <w:b w:val="0"/>
          <w:i w:val="0"/>
          <w:smallCaps w:val="0"/>
          <w:strike w:val="0"/>
          <w:color w:val="000000"/>
          <w:sz w:val="22"/>
          <w:szCs w:val="22"/>
          <w:u w:val="none"/>
          <w:shd w:fill="auto" w:val="clear"/>
          <w:vertAlign w:val="superscript"/>
        </w:rPr>
        <w:footnoteReference w:customMarkFollows="0" w:id="0"/>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t xml:space="preserve">requirements that are CRITICAL to meeting the project's objectives</w:t>
      </w:r>
    </w:p>
    <w:p w:rsidR="00000000" w:rsidDel="00000000" w:rsidP="00000000" w:rsidRDefault="00000000" w:rsidRPr="00000000" w14:paraId="00000176">
      <w:pPr>
        <w:keepNext w:val="0"/>
        <w:keepLines w:val="0"/>
        <w:widowControl w:val="1"/>
        <w:pBdr>
          <w:top w:space="0" w:sz="0" w:val="nil"/>
          <w:left w:space="0" w:sz="0" w:val="nil"/>
          <w:bottom w:space="0" w:sz="0" w:val="nil"/>
          <w:right w:space="0" w:sz="0" w:val="nil"/>
          <w:between w:space="0" w:sz="0" w:val="nil"/>
        </w:pBdr>
        <w:shd w:fill="auto" w:val="clear"/>
        <w:tabs>
          <w:tab w:val="left" w:pos="1620"/>
        </w:tabs>
        <w:spacing w:after="120" w:before="0" w:line="276" w:lineRule="auto"/>
        <w:ind w:left="1620" w:right="0" w:hanging="90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Should</w:t>
        <w:tab/>
        <w:t xml:space="preserve">requirements that are critical and should be included if possible, but which can be excluded</w:t>
      </w:r>
    </w:p>
    <w:p w:rsidR="00000000" w:rsidDel="00000000" w:rsidP="00000000" w:rsidRDefault="00000000" w:rsidRPr="00000000" w14:paraId="00000177">
      <w:pPr>
        <w:keepNext w:val="0"/>
        <w:keepLines w:val="0"/>
        <w:widowControl w:val="1"/>
        <w:pBdr>
          <w:top w:space="0" w:sz="0" w:val="nil"/>
          <w:left w:space="0" w:sz="0" w:val="nil"/>
          <w:bottom w:space="0" w:sz="0" w:val="nil"/>
          <w:right w:space="0" w:sz="0" w:val="nil"/>
          <w:between w:space="0" w:sz="0" w:val="nil"/>
        </w:pBdr>
        <w:shd w:fill="auto" w:val="clear"/>
        <w:tabs>
          <w:tab w:val="left" w:pos="1620"/>
        </w:tabs>
        <w:spacing w:after="120" w:before="0" w:line="276" w:lineRule="auto"/>
        <w:ind w:left="1620" w:right="0" w:hanging="90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Could</w:t>
        <w:tab/>
        <w:t xml:space="preserve">requirements that are part of the project's scope and add or enhance project benefits</w:t>
      </w:r>
    </w:p>
    <w:p w:rsidR="00000000" w:rsidDel="00000000" w:rsidP="00000000" w:rsidRDefault="00000000" w:rsidRPr="00000000" w14:paraId="00000178">
      <w:pPr>
        <w:keepNext w:val="0"/>
        <w:keepLines w:val="0"/>
        <w:widowControl w:val="1"/>
        <w:pBdr>
          <w:top w:space="0" w:sz="0" w:val="nil"/>
          <w:left w:space="0" w:sz="0" w:val="nil"/>
          <w:bottom w:space="0" w:sz="0" w:val="nil"/>
          <w:right w:space="0" w:sz="0" w:val="nil"/>
          <w:between w:space="0" w:sz="0" w:val="nil"/>
        </w:pBdr>
        <w:shd w:fill="auto" w:val="clear"/>
        <w:tabs>
          <w:tab w:val="left" w:pos="1620"/>
        </w:tabs>
        <w:spacing w:after="120" w:before="0" w:line="276" w:lineRule="auto"/>
        <w:ind w:left="1620" w:right="0" w:hanging="90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Would</w:t>
        <w:tab/>
        <w:t xml:space="preserve">requirements that do not have a significant impact on project benefits or could be considered as a “would like to have”</w:t>
      </w:r>
    </w:p>
    <w:p w:rsidR="00000000" w:rsidDel="00000000" w:rsidP="00000000" w:rsidRDefault="00000000" w:rsidRPr="00000000" w14:paraId="00000179">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Status</w:t>
      </w:r>
    </w:p>
    <w:p w:rsidR="00000000" w:rsidDel="00000000" w:rsidP="00000000" w:rsidRDefault="00000000" w:rsidRPr="00000000" w14:paraId="0000017A">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status of the requirement.</w:t>
      </w:r>
    </w:p>
    <w:p w:rsidR="00000000" w:rsidDel="00000000" w:rsidP="00000000" w:rsidRDefault="00000000" w:rsidRPr="00000000" w14:paraId="0000017B">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Target Release</w:t>
      </w:r>
    </w:p>
    <w:p w:rsidR="00000000" w:rsidDel="00000000" w:rsidP="00000000" w:rsidRDefault="00000000" w:rsidRPr="00000000" w14:paraId="0000017C">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release in which the requirement will be developed. Note that this column may be blank and hidden from view upon the initial documentation of the requirements, but should be updated during the appropriate phase of the project.</w:t>
      </w:r>
    </w:p>
    <w:p w:rsidR="00000000" w:rsidDel="00000000" w:rsidP="00000000" w:rsidRDefault="00000000" w:rsidRPr="00000000" w14:paraId="0000017D">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Source</w:t>
      </w:r>
    </w:p>
    <w:p w:rsidR="00000000" w:rsidDel="00000000" w:rsidP="00000000" w:rsidRDefault="00000000" w:rsidRPr="00000000" w14:paraId="0000017E">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source of the stakeholder requirement, such as "Business Case" or "Interview".</w:t>
      </w:r>
    </w:p>
    <w:p w:rsidR="00000000" w:rsidDel="00000000" w:rsidP="00000000" w:rsidRDefault="00000000" w:rsidRPr="00000000" w14:paraId="0000017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Notes</w:t>
      </w:r>
    </w:p>
    <w:p w:rsidR="00000000" w:rsidDel="00000000" w:rsidP="00000000" w:rsidRDefault="00000000" w:rsidRPr="00000000" w14:paraId="00000180">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Pertinent additional information about the requirement. For example, it is sometimes very difficult to state a function clearly and precisely. In this case, simpler and more easily understood requirement text might be used with additional information under “Notes” which expands upon the intent of the requirement.</w:t>
      </w:r>
    </w:p>
    <w:p w:rsidR="00000000" w:rsidDel="00000000" w:rsidP="00000000" w:rsidRDefault="00000000" w:rsidRPr="00000000" w14:paraId="00000181">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Note: There are additional columns in the embedded RVTM to capture the requirements traceability to Design, Development, Verification, and Deployment Preparation (User Acceptance Testing) attributes. These columns will be blank upon the initial documentation of the requirements, but should be updated during the appropriate life cycle phases of the project.</w:t>
      </w:r>
    </w:p>
    <w:p w:rsidR="00000000" w:rsidDel="00000000" w:rsidP="00000000" w:rsidRDefault="00000000" w:rsidRPr="00000000" w14:paraId="00000182">
      <w:pPr>
        <w:pStyle w:val="Heading1"/>
        <w:tabs>
          <w:tab w:val="left" w:pos="360"/>
        </w:tabs>
        <w:rPr/>
      </w:pPr>
      <w:bookmarkStart w:colFirst="0" w:colLast="0" w:name="_qsh70q" w:id="26"/>
      <w:bookmarkEnd w:id="26"/>
      <w:r w:rsidDel="00000000" w:rsidR="00000000" w:rsidRPr="00000000">
        <w:br w:type="page"/>
      </w:r>
      <w:r w:rsidDel="00000000" w:rsidR="00000000" w:rsidRPr="00000000">
        <w:rPr>
          <w:rtl w:val="0"/>
        </w:rPr>
        <w:t xml:space="preserve">Appendix A – Glossary</w:t>
      </w:r>
    </w:p>
    <w:tbl>
      <w:tblPr>
        <w:tblStyle w:val="Table5"/>
        <w:tblW w:w="9475.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2160"/>
        <w:gridCol w:w="7315"/>
        <w:tblGridChange w:id="0">
          <w:tblGrid>
            <w:gridCol w:w="2160"/>
            <w:gridCol w:w="7315"/>
          </w:tblGrid>
        </w:tblGridChange>
      </w:tblGrid>
      <w:tr>
        <w:tc>
          <w:tcPr>
            <w:shd w:fill="1f497d" w:val="clear"/>
          </w:tcPr>
          <w:p w:rsidR="00000000" w:rsidDel="00000000" w:rsidP="00000000" w:rsidRDefault="00000000" w:rsidRPr="00000000" w14:paraId="00000183">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Abbreviation</w:t>
            </w:r>
          </w:p>
        </w:tc>
        <w:tc>
          <w:tcPr>
            <w:shd w:fill="1f497d" w:val="clear"/>
          </w:tcPr>
          <w:p w:rsidR="00000000" w:rsidDel="00000000" w:rsidP="00000000" w:rsidRDefault="00000000" w:rsidRPr="00000000" w14:paraId="00000184">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Definition</w:t>
            </w:r>
          </w:p>
        </w:tc>
      </w:tr>
      <w:tr>
        <w:tc>
          <w:tcPr/>
          <w:p w:rsidR="00000000" w:rsidDel="00000000" w:rsidP="00000000" w:rsidRDefault="00000000" w:rsidRPr="00000000" w14:paraId="00000185">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ADRESS</w:t>
            </w:r>
          </w:p>
        </w:tc>
        <w:tc>
          <w:tcPr/>
          <w:p w:rsidR="00000000" w:rsidDel="00000000" w:rsidP="00000000" w:rsidRDefault="00000000" w:rsidRPr="00000000" w14:paraId="00000186">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Archival Declassification, Review and Redaction System</w:t>
            </w:r>
          </w:p>
        </w:tc>
      </w:tr>
      <w:tr>
        <w:tc>
          <w:tcPr/>
          <w:p w:rsidR="00000000" w:rsidDel="00000000" w:rsidP="00000000" w:rsidRDefault="00000000" w:rsidRPr="00000000" w14:paraId="00000187">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API</w:t>
            </w:r>
          </w:p>
        </w:tc>
        <w:tc>
          <w:tcPr/>
          <w:p w:rsidR="00000000" w:rsidDel="00000000" w:rsidP="00000000" w:rsidRDefault="00000000" w:rsidRPr="00000000" w14:paraId="00000188">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Application Programming Interface</w:t>
            </w:r>
          </w:p>
        </w:tc>
      </w:tr>
      <w:tr>
        <w:tc>
          <w:tcPr/>
          <w:p w:rsidR="00000000" w:rsidDel="00000000" w:rsidP="00000000" w:rsidRDefault="00000000" w:rsidRPr="00000000" w14:paraId="00000189">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ARCIS</w:t>
            </w:r>
          </w:p>
        </w:tc>
        <w:tc>
          <w:tcPr/>
          <w:p w:rsidR="00000000" w:rsidDel="00000000" w:rsidP="00000000" w:rsidRDefault="00000000" w:rsidRPr="00000000" w14:paraId="0000018A">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Archival Records Center Information System</w:t>
            </w:r>
          </w:p>
        </w:tc>
      </w:tr>
      <w:tr>
        <w:tc>
          <w:tcPr/>
          <w:p w:rsidR="00000000" w:rsidDel="00000000" w:rsidP="00000000" w:rsidRDefault="00000000" w:rsidRPr="00000000" w14:paraId="0000018B">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BI</w:t>
            </w:r>
          </w:p>
        </w:tc>
        <w:tc>
          <w:tcPr/>
          <w:p w:rsidR="00000000" w:rsidDel="00000000" w:rsidP="00000000" w:rsidRDefault="00000000" w:rsidRPr="00000000" w14:paraId="0000018C">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Business Intelligence</w:t>
            </w:r>
          </w:p>
        </w:tc>
      </w:tr>
      <w:tr>
        <w:tc>
          <w:tcPr/>
          <w:p w:rsidR="00000000" w:rsidDel="00000000" w:rsidP="00000000" w:rsidRDefault="00000000" w:rsidRPr="00000000" w14:paraId="0000018D">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CMRS</w:t>
            </w:r>
          </w:p>
        </w:tc>
        <w:tc>
          <w:tcPr/>
          <w:p w:rsidR="00000000" w:rsidDel="00000000" w:rsidP="00000000" w:rsidRDefault="00000000" w:rsidRPr="00000000" w14:paraId="0000018E">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Case Management and Reporting System</w:t>
            </w:r>
          </w:p>
        </w:tc>
      </w:tr>
      <w:tr>
        <w:tc>
          <w:tcPr/>
          <w:p w:rsidR="00000000" w:rsidDel="00000000" w:rsidP="00000000" w:rsidRDefault="00000000" w:rsidRPr="00000000" w14:paraId="0000018F">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ConOps</w:t>
            </w:r>
          </w:p>
        </w:tc>
        <w:tc>
          <w:tcPr/>
          <w:p w:rsidR="00000000" w:rsidDel="00000000" w:rsidP="00000000" w:rsidRDefault="00000000" w:rsidRPr="00000000" w14:paraId="00000190">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Concept of Operations</w:t>
            </w:r>
          </w:p>
        </w:tc>
      </w:tr>
      <w:tr>
        <w:tc>
          <w:tcPr/>
          <w:p w:rsidR="00000000" w:rsidDel="00000000" w:rsidP="00000000" w:rsidRDefault="00000000" w:rsidRPr="00000000" w14:paraId="00000191">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CSV</w:t>
            </w:r>
          </w:p>
        </w:tc>
        <w:tc>
          <w:tcPr/>
          <w:p w:rsidR="00000000" w:rsidDel="00000000" w:rsidP="00000000" w:rsidRDefault="00000000" w:rsidRPr="00000000" w14:paraId="00000192">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Comma Separated Values</w:t>
            </w:r>
          </w:p>
        </w:tc>
      </w:tr>
      <w:tr>
        <w:tc>
          <w:tcPr/>
          <w:p w:rsidR="00000000" w:rsidDel="00000000" w:rsidP="00000000" w:rsidRDefault="00000000" w:rsidRPr="00000000" w14:paraId="00000193">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DAS</w:t>
            </w:r>
          </w:p>
        </w:tc>
        <w:tc>
          <w:tcPr/>
          <w:p w:rsidR="00000000" w:rsidDel="00000000" w:rsidP="00000000" w:rsidRDefault="00000000" w:rsidRPr="00000000" w14:paraId="00000194">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Description and Authority Services</w:t>
            </w:r>
          </w:p>
        </w:tc>
      </w:tr>
      <w:tr>
        <w:tc>
          <w:tcPr/>
          <w:p w:rsidR="00000000" w:rsidDel="00000000" w:rsidP="00000000" w:rsidRDefault="00000000" w:rsidRPr="00000000" w14:paraId="00000195">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e.g.</w:t>
            </w:r>
          </w:p>
        </w:tc>
        <w:tc>
          <w:tcPr/>
          <w:p w:rsidR="00000000" w:rsidDel="00000000" w:rsidP="00000000" w:rsidRDefault="00000000" w:rsidRPr="00000000" w14:paraId="00000196">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exempli gratia ('for the sake of example')</w:t>
            </w:r>
          </w:p>
        </w:tc>
      </w:tr>
      <w:tr>
        <w:tc>
          <w:tcPr/>
          <w:p w:rsidR="00000000" w:rsidDel="00000000" w:rsidP="00000000" w:rsidRDefault="00000000" w:rsidRPr="00000000" w14:paraId="00000197">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ERA</w:t>
            </w:r>
          </w:p>
        </w:tc>
        <w:tc>
          <w:tcPr/>
          <w:p w:rsidR="00000000" w:rsidDel="00000000" w:rsidP="00000000" w:rsidRDefault="00000000" w:rsidRPr="00000000" w14:paraId="00000198">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Electronic Records Archives</w:t>
            </w:r>
          </w:p>
        </w:tc>
      </w:tr>
      <w:tr>
        <w:tc>
          <w:tcPr/>
          <w:p w:rsidR="00000000" w:rsidDel="00000000" w:rsidP="00000000" w:rsidRDefault="00000000" w:rsidRPr="00000000" w14:paraId="00000199">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ERA Base</w:t>
            </w:r>
          </w:p>
        </w:tc>
        <w:tc>
          <w:tcPr/>
          <w:p w:rsidR="00000000" w:rsidDel="00000000" w:rsidP="00000000" w:rsidRDefault="00000000" w:rsidRPr="00000000" w14:paraId="0000019A">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Base instance of the Electronic Records Archives</w:t>
            </w:r>
          </w:p>
        </w:tc>
      </w:tr>
      <w:tr>
        <w:tc>
          <w:tcPr/>
          <w:p w:rsidR="00000000" w:rsidDel="00000000" w:rsidP="00000000" w:rsidRDefault="00000000" w:rsidRPr="00000000" w14:paraId="0000019B">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ERA Census</w:t>
            </w:r>
          </w:p>
        </w:tc>
        <w:tc>
          <w:tcPr/>
          <w:p w:rsidR="00000000" w:rsidDel="00000000" w:rsidP="00000000" w:rsidRDefault="00000000" w:rsidRPr="00000000" w14:paraId="0000019C">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Census instance of the Electronic Records Archives</w:t>
            </w:r>
          </w:p>
        </w:tc>
      </w:tr>
      <w:tr>
        <w:tc>
          <w:tcPr/>
          <w:p w:rsidR="00000000" w:rsidDel="00000000" w:rsidP="00000000" w:rsidRDefault="00000000" w:rsidRPr="00000000" w14:paraId="0000019D">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ERA CRI</w:t>
            </w:r>
          </w:p>
        </w:tc>
        <w:tc>
          <w:tcPr/>
          <w:p w:rsidR="00000000" w:rsidDel="00000000" w:rsidP="00000000" w:rsidRDefault="00000000" w:rsidRPr="00000000" w14:paraId="0000019E">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Electronic Records Archives Congressional Records Instance</w:t>
            </w:r>
          </w:p>
        </w:tc>
      </w:tr>
      <w:tr>
        <w:tc>
          <w:tcPr/>
          <w:p w:rsidR="00000000" w:rsidDel="00000000" w:rsidP="00000000" w:rsidRDefault="00000000" w:rsidRPr="00000000" w14:paraId="0000019F">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ERA EOP</w:t>
            </w:r>
          </w:p>
        </w:tc>
        <w:tc>
          <w:tcPr/>
          <w:p w:rsidR="00000000" w:rsidDel="00000000" w:rsidP="00000000" w:rsidRDefault="00000000" w:rsidRPr="00000000" w14:paraId="000001A0">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Electronic Records Archives Executive Office of The President (Instance)</w:t>
            </w:r>
          </w:p>
        </w:tc>
      </w:tr>
      <w:tr>
        <w:tc>
          <w:tcPr/>
          <w:p w:rsidR="00000000" w:rsidDel="00000000" w:rsidP="00000000" w:rsidRDefault="00000000" w:rsidRPr="00000000" w14:paraId="000001A1">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FISMA</w:t>
            </w:r>
          </w:p>
        </w:tc>
        <w:tc>
          <w:tcPr/>
          <w:p w:rsidR="00000000" w:rsidDel="00000000" w:rsidP="00000000" w:rsidRDefault="00000000" w:rsidRPr="00000000" w14:paraId="000001A2">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Federal Information Security Management Act</w:t>
            </w:r>
          </w:p>
        </w:tc>
      </w:tr>
      <w:tr>
        <w:tc>
          <w:tcPr/>
          <w:p w:rsidR="00000000" w:rsidDel="00000000" w:rsidP="00000000" w:rsidRDefault="00000000" w:rsidRPr="00000000" w14:paraId="000001A3">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FPPS</w:t>
            </w:r>
          </w:p>
        </w:tc>
        <w:tc>
          <w:tcPr/>
          <w:p w:rsidR="00000000" w:rsidDel="00000000" w:rsidP="00000000" w:rsidRDefault="00000000" w:rsidRPr="00000000" w14:paraId="000001A4">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Federal Personnel and Payroll System</w:t>
            </w:r>
          </w:p>
        </w:tc>
      </w:tr>
      <w:tr>
        <w:tc>
          <w:tcPr/>
          <w:p w:rsidR="00000000" w:rsidDel="00000000" w:rsidP="00000000" w:rsidRDefault="00000000" w:rsidRPr="00000000" w14:paraId="000001A5">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GB</w:t>
            </w:r>
          </w:p>
        </w:tc>
        <w:tc>
          <w:tcPr/>
          <w:p w:rsidR="00000000" w:rsidDel="00000000" w:rsidP="00000000" w:rsidRDefault="00000000" w:rsidRPr="00000000" w14:paraId="000001A6">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gigabyte</w:t>
            </w:r>
          </w:p>
        </w:tc>
      </w:tr>
      <w:tr>
        <w:tc>
          <w:tcPr/>
          <w:p w:rsidR="00000000" w:rsidDel="00000000" w:rsidP="00000000" w:rsidRDefault="00000000" w:rsidRPr="00000000" w14:paraId="000001A7">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HMS</w:t>
            </w:r>
          </w:p>
        </w:tc>
        <w:tc>
          <w:tcPr/>
          <w:p w:rsidR="00000000" w:rsidDel="00000000" w:rsidP="00000000" w:rsidRDefault="00000000" w:rsidRPr="00000000" w14:paraId="000001A8">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Holdings Management System</w:t>
            </w:r>
          </w:p>
        </w:tc>
      </w:tr>
      <w:tr>
        <w:tc>
          <w:tcPr/>
          <w:p w:rsidR="00000000" w:rsidDel="00000000" w:rsidP="00000000" w:rsidRDefault="00000000" w:rsidRPr="00000000" w14:paraId="000001A9">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HTML</w:t>
            </w:r>
          </w:p>
        </w:tc>
        <w:tc>
          <w:tcPr/>
          <w:p w:rsidR="00000000" w:rsidDel="00000000" w:rsidP="00000000" w:rsidRDefault="00000000" w:rsidRPr="00000000" w14:paraId="000001AA">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HyperText Markup Language</w:t>
            </w:r>
          </w:p>
        </w:tc>
      </w:tr>
      <w:tr>
        <w:tc>
          <w:tcPr/>
          <w:p w:rsidR="00000000" w:rsidDel="00000000" w:rsidP="00000000" w:rsidRDefault="00000000" w:rsidRPr="00000000" w14:paraId="000001AB">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IBM</w:t>
            </w:r>
          </w:p>
        </w:tc>
        <w:tc>
          <w:tcPr/>
          <w:p w:rsidR="00000000" w:rsidDel="00000000" w:rsidP="00000000" w:rsidRDefault="00000000" w:rsidRPr="00000000" w14:paraId="000001AC">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International Business Machines, Inc.</w:t>
            </w:r>
          </w:p>
        </w:tc>
      </w:tr>
      <w:tr>
        <w:tc>
          <w:tcPr/>
          <w:p w:rsidR="00000000" w:rsidDel="00000000" w:rsidP="00000000" w:rsidRDefault="00000000" w:rsidRPr="00000000" w14:paraId="000001AD">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i.e.</w:t>
            </w:r>
          </w:p>
        </w:tc>
        <w:tc>
          <w:tcPr/>
          <w:p w:rsidR="00000000" w:rsidDel="00000000" w:rsidP="00000000" w:rsidRDefault="00000000" w:rsidRPr="00000000" w14:paraId="000001AE">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id est ('that is'; 'in other words'; 'that is to say')</w:t>
            </w:r>
          </w:p>
        </w:tc>
      </w:tr>
      <w:tr>
        <w:tc>
          <w:tcPr/>
          <w:p w:rsidR="00000000" w:rsidDel="00000000" w:rsidP="00000000" w:rsidRDefault="00000000" w:rsidRPr="00000000" w14:paraId="000001AF">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ICN</w:t>
            </w:r>
          </w:p>
        </w:tc>
        <w:tc>
          <w:tcPr/>
          <w:p w:rsidR="00000000" w:rsidDel="00000000" w:rsidP="00000000" w:rsidRDefault="00000000" w:rsidRPr="00000000" w14:paraId="000001B0">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Internal Collaboration Network</w:t>
            </w:r>
          </w:p>
        </w:tc>
      </w:tr>
      <w:tr>
        <w:tc>
          <w:tcPr/>
          <w:p w:rsidR="00000000" w:rsidDel="00000000" w:rsidP="00000000" w:rsidRDefault="00000000" w:rsidRPr="00000000" w14:paraId="000001B1">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IEC</w:t>
            </w:r>
          </w:p>
        </w:tc>
        <w:tc>
          <w:tcPr/>
          <w:p w:rsidR="00000000" w:rsidDel="00000000" w:rsidP="00000000" w:rsidRDefault="00000000" w:rsidRPr="00000000" w14:paraId="000001B2">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International Electrotechnical Commission</w:t>
            </w:r>
          </w:p>
        </w:tc>
      </w:tr>
      <w:tr>
        <w:tc>
          <w:tcPr/>
          <w:p w:rsidR="00000000" w:rsidDel="00000000" w:rsidP="00000000" w:rsidRDefault="00000000" w:rsidRPr="00000000" w14:paraId="000001B3">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IEEE</w:t>
            </w:r>
          </w:p>
        </w:tc>
        <w:tc>
          <w:tcPr/>
          <w:p w:rsidR="00000000" w:rsidDel="00000000" w:rsidP="00000000" w:rsidRDefault="00000000" w:rsidRPr="00000000" w14:paraId="000001B4">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Institute of Electrical and Electronics Engineers, Inc.</w:t>
            </w:r>
          </w:p>
        </w:tc>
      </w:tr>
      <w:tr>
        <w:tc>
          <w:tcPr/>
          <w:p w:rsidR="00000000" w:rsidDel="00000000" w:rsidP="00000000" w:rsidRDefault="00000000" w:rsidRPr="00000000" w14:paraId="000001B5">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IG</w:t>
            </w:r>
          </w:p>
        </w:tc>
        <w:tc>
          <w:tcPr/>
          <w:p w:rsidR="00000000" w:rsidDel="00000000" w:rsidP="00000000" w:rsidRDefault="00000000" w:rsidRPr="00000000" w14:paraId="000001B6">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[NARA organization] Program Management Division, Information Services</w:t>
            </w:r>
          </w:p>
        </w:tc>
      </w:tr>
      <w:tr>
        <w:tc>
          <w:tcPr/>
          <w:p w:rsidR="00000000" w:rsidDel="00000000" w:rsidP="00000000" w:rsidRDefault="00000000" w:rsidRPr="00000000" w14:paraId="000001B7">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IJ</w:t>
            </w:r>
          </w:p>
        </w:tc>
        <w:tc>
          <w:tcPr/>
          <w:p w:rsidR="00000000" w:rsidDel="00000000" w:rsidP="00000000" w:rsidRDefault="00000000" w:rsidRPr="00000000" w14:paraId="000001B8">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[NARA organization] IT Project Management Division, Information Services</w:t>
            </w:r>
          </w:p>
        </w:tc>
      </w:tr>
      <w:tr>
        <w:tc>
          <w:tcPr/>
          <w:p w:rsidR="00000000" w:rsidDel="00000000" w:rsidP="00000000" w:rsidRDefault="00000000" w:rsidRPr="00000000" w14:paraId="000001B9">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Inc.</w:t>
            </w:r>
          </w:p>
        </w:tc>
        <w:tc>
          <w:tcPr/>
          <w:p w:rsidR="00000000" w:rsidDel="00000000" w:rsidP="00000000" w:rsidRDefault="00000000" w:rsidRPr="00000000" w14:paraId="000001BA">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Incorporated</w:t>
            </w:r>
          </w:p>
        </w:tc>
      </w:tr>
      <w:tr>
        <w:tc>
          <w:tcPr/>
          <w:p w:rsidR="00000000" w:rsidDel="00000000" w:rsidP="00000000" w:rsidRDefault="00000000" w:rsidRPr="00000000" w14:paraId="000001BB">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IR</w:t>
            </w:r>
          </w:p>
        </w:tc>
        <w:tc>
          <w:tcPr/>
          <w:p w:rsidR="00000000" w:rsidDel="00000000" w:rsidP="00000000" w:rsidRDefault="00000000" w:rsidRPr="00000000" w14:paraId="000001BC">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[NARA organization] Requirements Management Division, Information Services</w:t>
            </w:r>
          </w:p>
        </w:tc>
      </w:tr>
      <w:tr>
        <w:tc>
          <w:tcPr/>
          <w:p w:rsidR="00000000" w:rsidDel="00000000" w:rsidP="00000000" w:rsidRDefault="00000000" w:rsidRPr="00000000" w14:paraId="000001BD">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ISO</w:t>
            </w:r>
          </w:p>
        </w:tc>
        <w:tc>
          <w:tcPr/>
          <w:p w:rsidR="00000000" w:rsidDel="00000000" w:rsidP="00000000" w:rsidRDefault="00000000" w:rsidRPr="00000000" w14:paraId="000001BE">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International Organization for Standardization</w:t>
            </w:r>
          </w:p>
        </w:tc>
      </w:tr>
      <w:tr>
        <w:tc>
          <w:tcPr/>
          <w:p w:rsidR="00000000" w:rsidDel="00000000" w:rsidP="00000000" w:rsidRDefault="00000000" w:rsidRPr="00000000" w14:paraId="000001BF">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IT</w:t>
            </w:r>
          </w:p>
        </w:tc>
        <w:tc>
          <w:tcPr/>
          <w:p w:rsidR="00000000" w:rsidDel="00000000" w:rsidP="00000000" w:rsidRDefault="00000000" w:rsidRPr="00000000" w14:paraId="000001C0">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Information Technology</w:t>
            </w:r>
          </w:p>
        </w:tc>
      </w:tr>
      <w:tr>
        <w:tc>
          <w:tcPr/>
          <w:p w:rsidR="00000000" w:rsidDel="00000000" w:rsidP="00000000" w:rsidRDefault="00000000" w:rsidRPr="00000000" w14:paraId="000001C1">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JSON</w:t>
            </w:r>
          </w:p>
        </w:tc>
        <w:tc>
          <w:tcPr/>
          <w:p w:rsidR="00000000" w:rsidDel="00000000" w:rsidP="00000000" w:rsidRDefault="00000000" w:rsidRPr="00000000" w14:paraId="000001C2">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JavaScript Object Notation</w:t>
            </w:r>
          </w:p>
        </w:tc>
      </w:tr>
      <w:tr>
        <w:tc>
          <w:tcPr/>
          <w:p w:rsidR="00000000" w:rsidDel="00000000" w:rsidP="00000000" w:rsidRDefault="00000000" w:rsidRPr="00000000" w14:paraId="000001C3">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MoSCoW</w:t>
            </w:r>
          </w:p>
        </w:tc>
        <w:tc>
          <w:tcPr/>
          <w:p w:rsidR="00000000" w:rsidDel="00000000" w:rsidP="00000000" w:rsidRDefault="00000000" w:rsidRPr="00000000" w14:paraId="000001C4">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Must, Should, Could, Would (requirements priorities, in order of decreasing importance or desirability)</w:t>
            </w:r>
          </w:p>
        </w:tc>
      </w:tr>
      <w:tr>
        <w:tc>
          <w:tcPr/>
          <w:p w:rsidR="00000000" w:rsidDel="00000000" w:rsidP="00000000" w:rsidRDefault="00000000" w:rsidRPr="00000000" w14:paraId="000001C5">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MP</w:t>
            </w:r>
          </w:p>
        </w:tc>
        <w:tc>
          <w:tcPr/>
          <w:p w:rsidR="00000000" w:rsidDel="00000000" w:rsidP="00000000" w:rsidRDefault="00000000" w:rsidRPr="00000000" w14:paraId="000001C6">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[NARA organization] Strategy and Performance Division, Office of the Chief of Management and Administration</w:t>
            </w:r>
          </w:p>
        </w:tc>
      </w:tr>
      <w:tr>
        <w:tc>
          <w:tcPr/>
          <w:p w:rsidR="00000000" w:rsidDel="00000000" w:rsidP="00000000" w:rsidRDefault="00000000" w:rsidRPr="00000000" w14:paraId="000001C7">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N/A</w:t>
            </w:r>
          </w:p>
        </w:tc>
        <w:tc>
          <w:tcPr/>
          <w:p w:rsidR="00000000" w:rsidDel="00000000" w:rsidP="00000000" w:rsidRDefault="00000000" w:rsidRPr="00000000" w14:paraId="000001C8">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Not Applicable</w:t>
            </w:r>
          </w:p>
        </w:tc>
      </w:tr>
      <w:tr>
        <w:tc>
          <w:tcPr/>
          <w:p w:rsidR="00000000" w:rsidDel="00000000" w:rsidP="00000000" w:rsidRDefault="00000000" w:rsidRPr="00000000" w14:paraId="000001C9">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NAC</w:t>
            </w:r>
          </w:p>
        </w:tc>
        <w:tc>
          <w:tcPr/>
          <w:p w:rsidR="00000000" w:rsidDel="00000000" w:rsidP="00000000" w:rsidRDefault="00000000" w:rsidRPr="00000000" w14:paraId="000001CA">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National Archives Catalog</w:t>
            </w:r>
          </w:p>
        </w:tc>
      </w:tr>
      <w:tr>
        <w:tc>
          <w:tcPr/>
          <w:p w:rsidR="00000000" w:rsidDel="00000000" w:rsidP="00000000" w:rsidRDefault="00000000" w:rsidRPr="00000000" w14:paraId="000001CB">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NARA</w:t>
            </w:r>
          </w:p>
        </w:tc>
        <w:tc>
          <w:tcPr/>
          <w:p w:rsidR="00000000" w:rsidDel="00000000" w:rsidP="00000000" w:rsidRDefault="00000000" w:rsidRPr="00000000" w14:paraId="000001CC">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National Archives and Records Administration</w:t>
            </w:r>
          </w:p>
        </w:tc>
      </w:tr>
      <w:tr>
        <w:tc>
          <w:tcPr/>
          <w:p w:rsidR="00000000" w:rsidDel="00000000" w:rsidP="00000000" w:rsidRDefault="00000000" w:rsidRPr="00000000" w14:paraId="000001CD">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PDF</w:t>
            </w:r>
          </w:p>
        </w:tc>
        <w:tc>
          <w:tcPr/>
          <w:p w:rsidR="00000000" w:rsidDel="00000000" w:rsidP="00000000" w:rsidRDefault="00000000" w:rsidRPr="00000000" w14:paraId="000001CE">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Portable Document Format</w:t>
            </w:r>
          </w:p>
        </w:tc>
      </w:tr>
      <w:tr>
        <w:tc>
          <w:tcPr/>
          <w:p w:rsidR="00000000" w:rsidDel="00000000" w:rsidP="00000000" w:rsidRDefault="00000000" w:rsidRPr="00000000" w14:paraId="000001CF">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PM</w:t>
            </w:r>
          </w:p>
        </w:tc>
        <w:tc>
          <w:tcPr/>
          <w:p w:rsidR="00000000" w:rsidDel="00000000" w:rsidP="00000000" w:rsidRDefault="00000000" w:rsidRPr="00000000" w14:paraId="000001D0">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Project Manager</w:t>
            </w:r>
          </w:p>
        </w:tc>
      </w:tr>
      <w:tr>
        <w:tc>
          <w:tcPr/>
          <w:p w:rsidR="00000000" w:rsidDel="00000000" w:rsidP="00000000" w:rsidRDefault="00000000" w:rsidRPr="00000000" w14:paraId="000001D1">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PMRS</w:t>
            </w:r>
          </w:p>
        </w:tc>
        <w:tc>
          <w:tcPr/>
          <w:p w:rsidR="00000000" w:rsidDel="00000000" w:rsidP="00000000" w:rsidRDefault="00000000" w:rsidRPr="00000000" w14:paraId="000001D2">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Performance Measurement and Reporting System</w:t>
            </w:r>
          </w:p>
        </w:tc>
      </w:tr>
      <w:tr>
        <w:tc>
          <w:tcPr/>
          <w:p w:rsidR="00000000" w:rsidDel="00000000" w:rsidP="00000000" w:rsidRDefault="00000000" w:rsidRPr="00000000" w14:paraId="000001D3">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POC</w:t>
            </w:r>
          </w:p>
        </w:tc>
        <w:tc>
          <w:tcPr/>
          <w:p w:rsidR="00000000" w:rsidDel="00000000" w:rsidP="00000000" w:rsidRDefault="00000000" w:rsidRPr="00000000" w14:paraId="000001D4">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Point Of Contact</w:t>
            </w:r>
          </w:p>
        </w:tc>
      </w:tr>
      <w:tr>
        <w:tc>
          <w:tcPr/>
          <w:p w:rsidR="00000000" w:rsidDel="00000000" w:rsidP="00000000" w:rsidRDefault="00000000" w:rsidRPr="00000000" w14:paraId="000001D5">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REQ</w:t>
            </w:r>
          </w:p>
        </w:tc>
        <w:tc>
          <w:tcPr/>
          <w:p w:rsidR="00000000" w:rsidDel="00000000" w:rsidP="00000000" w:rsidRDefault="00000000" w:rsidRPr="00000000" w14:paraId="000001D6">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Requirement</w:t>
            </w:r>
          </w:p>
        </w:tc>
      </w:tr>
      <w:tr>
        <w:tc>
          <w:tcPr/>
          <w:p w:rsidR="00000000" w:rsidDel="00000000" w:rsidP="00000000" w:rsidRDefault="00000000" w:rsidRPr="00000000" w14:paraId="000001D7">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RCPBS</w:t>
            </w:r>
          </w:p>
        </w:tc>
        <w:tc>
          <w:tcPr/>
          <w:p w:rsidR="00000000" w:rsidDel="00000000" w:rsidP="00000000" w:rsidRDefault="00000000" w:rsidRPr="00000000" w14:paraId="000001D8">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Records Center Program Billing System</w:t>
            </w:r>
          </w:p>
        </w:tc>
      </w:tr>
      <w:tr>
        <w:tc>
          <w:tcPr/>
          <w:p w:rsidR="00000000" w:rsidDel="00000000" w:rsidP="00000000" w:rsidRDefault="00000000" w:rsidRPr="00000000" w14:paraId="000001D9">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RVTM</w:t>
            </w:r>
          </w:p>
        </w:tc>
        <w:tc>
          <w:tcPr/>
          <w:p w:rsidR="00000000" w:rsidDel="00000000" w:rsidP="00000000" w:rsidRDefault="00000000" w:rsidRPr="00000000" w14:paraId="000001DA">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Requirements Verification Traceability Matrix</w:t>
            </w:r>
          </w:p>
        </w:tc>
      </w:tr>
      <w:tr>
        <w:tc>
          <w:tcPr/>
          <w:p w:rsidR="00000000" w:rsidDel="00000000" w:rsidP="00000000" w:rsidRDefault="00000000" w:rsidRPr="00000000" w14:paraId="000001DB">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RRS</w:t>
            </w:r>
          </w:p>
        </w:tc>
        <w:tc>
          <w:tcPr/>
          <w:p w:rsidR="00000000" w:rsidDel="00000000" w:rsidP="00000000" w:rsidRDefault="00000000" w:rsidRPr="00000000" w14:paraId="000001DC">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Researcher Registration System</w:t>
            </w:r>
          </w:p>
        </w:tc>
      </w:tr>
      <w:tr>
        <w:tc>
          <w:tcPr/>
          <w:p w:rsidR="00000000" w:rsidDel="00000000" w:rsidP="00000000" w:rsidRDefault="00000000" w:rsidRPr="00000000" w14:paraId="000001DD">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SAS</w:t>
            </w:r>
          </w:p>
        </w:tc>
        <w:tc>
          <w:tcPr/>
          <w:p w:rsidR="00000000" w:rsidDel="00000000" w:rsidP="00000000" w:rsidRDefault="00000000" w:rsidRPr="00000000" w14:paraId="000001DE">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Statistical Analysis System</w:t>
            </w:r>
          </w:p>
        </w:tc>
      </w:tr>
      <w:tr>
        <w:tc>
          <w:tcPr/>
          <w:p w:rsidR="00000000" w:rsidDel="00000000" w:rsidP="00000000" w:rsidRDefault="00000000" w:rsidRPr="00000000" w14:paraId="000001DF">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SOFA</w:t>
            </w:r>
          </w:p>
        </w:tc>
        <w:tc>
          <w:tcPr/>
          <w:p w:rsidR="00000000" w:rsidDel="00000000" w:rsidP="00000000" w:rsidRDefault="00000000" w:rsidRPr="00000000" w14:paraId="000001E0">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Siebel Order Fulfillment Application</w:t>
            </w:r>
          </w:p>
        </w:tc>
      </w:tr>
      <w:tr>
        <w:tc>
          <w:tcPr/>
          <w:p w:rsidR="00000000" w:rsidDel="00000000" w:rsidP="00000000" w:rsidRDefault="00000000" w:rsidRPr="00000000" w14:paraId="000001E1">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SDK</w:t>
            </w:r>
          </w:p>
        </w:tc>
        <w:tc>
          <w:tcPr/>
          <w:p w:rsidR="00000000" w:rsidDel="00000000" w:rsidP="00000000" w:rsidRDefault="00000000" w:rsidRPr="00000000" w14:paraId="000001E2">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Software Development Kit</w:t>
            </w:r>
          </w:p>
        </w:tc>
      </w:tr>
      <w:tr>
        <w:tc>
          <w:tcPr/>
          <w:p w:rsidR="00000000" w:rsidDel="00000000" w:rsidP="00000000" w:rsidRDefault="00000000" w:rsidRPr="00000000" w14:paraId="000001E3">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SDLC</w:t>
            </w:r>
          </w:p>
        </w:tc>
        <w:tc>
          <w:tcPr/>
          <w:p w:rsidR="00000000" w:rsidDel="00000000" w:rsidP="00000000" w:rsidRDefault="00000000" w:rsidRPr="00000000" w14:paraId="000001E4">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Systems Development Life Cycle</w:t>
            </w:r>
          </w:p>
        </w:tc>
      </w:tr>
      <w:tr>
        <w:tc>
          <w:tcPr/>
          <w:p w:rsidR="00000000" w:rsidDel="00000000" w:rsidP="00000000" w:rsidRDefault="00000000" w:rsidRPr="00000000" w14:paraId="000001E5">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SPSS</w:t>
            </w:r>
          </w:p>
        </w:tc>
        <w:tc>
          <w:tcPr/>
          <w:p w:rsidR="00000000" w:rsidDel="00000000" w:rsidP="00000000" w:rsidRDefault="00000000" w:rsidRPr="00000000" w14:paraId="000001E6">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Statistical Package for the Social Sciences</w:t>
            </w:r>
          </w:p>
        </w:tc>
      </w:tr>
      <w:tr>
        <w:tc>
          <w:tcPr/>
          <w:p w:rsidR="00000000" w:rsidDel="00000000" w:rsidP="00000000" w:rsidRDefault="00000000" w:rsidRPr="00000000" w14:paraId="000001E7">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SQL</w:t>
            </w:r>
          </w:p>
        </w:tc>
        <w:tc>
          <w:tcPr/>
          <w:p w:rsidR="00000000" w:rsidDel="00000000" w:rsidP="00000000" w:rsidRDefault="00000000" w:rsidRPr="00000000" w14:paraId="000001E8">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Structured Query Language</w:t>
            </w:r>
          </w:p>
        </w:tc>
      </w:tr>
      <w:tr>
        <w:tc>
          <w:tcPr/>
          <w:p w:rsidR="00000000" w:rsidDel="00000000" w:rsidP="00000000" w:rsidRDefault="00000000" w:rsidRPr="00000000" w14:paraId="000001E9">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StRS</w:t>
            </w:r>
          </w:p>
        </w:tc>
        <w:tc>
          <w:tcPr/>
          <w:p w:rsidR="00000000" w:rsidDel="00000000" w:rsidP="00000000" w:rsidRDefault="00000000" w:rsidRPr="00000000" w14:paraId="000001EA">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Stakeholder Requirements Specification</w:t>
            </w:r>
          </w:p>
        </w:tc>
      </w:tr>
      <w:tr>
        <w:tc>
          <w:tcPr/>
          <w:p w:rsidR="00000000" w:rsidDel="00000000" w:rsidP="00000000" w:rsidRDefault="00000000" w:rsidRPr="00000000" w14:paraId="000001EB">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TBD</w:t>
            </w:r>
          </w:p>
        </w:tc>
        <w:tc>
          <w:tcPr/>
          <w:p w:rsidR="00000000" w:rsidDel="00000000" w:rsidP="00000000" w:rsidRDefault="00000000" w:rsidRPr="00000000" w14:paraId="000001EC">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To Be Determined</w:t>
            </w:r>
          </w:p>
        </w:tc>
      </w:tr>
      <w:tr>
        <w:tc>
          <w:tcPr/>
          <w:p w:rsidR="00000000" w:rsidDel="00000000" w:rsidP="00000000" w:rsidRDefault="00000000" w:rsidRPr="00000000" w14:paraId="000001ED">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TMS</w:t>
            </w:r>
          </w:p>
        </w:tc>
        <w:tc>
          <w:tcPr/>
          <w:p w:rsidR="00000000" w:rsidDel="00000000" w:rsidP="00000000" w:rsidRDefault="00000000" w:rsidRPr="00000000" w14:paraId="000001EE">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The Museum System - TMS Collection Management Software</w:t>
            </w:r>
          </w:p>
        </w:tc>
      </w:tr>
      <w:tr>
        <w:tc>
          <w:tcPr/>
          <w:p w:rsidR="00000000" w:rsidDel="00000000" w:rsidP="00000000" w:rsidRDefault="00000000" w:rsidRPr="00000000" w14:paraId="000001EF">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VSS</w:t>
            </w:r>
          </w:p>
        </w:tc>
        <w:tc>
          <w:tcPr/>
          <w:p w:rsidR="00000000" w:rsidDel="00000000" w:rsidP="00000000" w:rsidRDefault="00000000" w:rsidRPr="00000000" w14:paraId="000001F0">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Visitor Services System</w:t>
            </w:r>
          </w:p>
        </w:tc>
      </w:tr>
      <w:tr>
        <w:tc>
          <w:tcPr/>
          <w:p w:rsidR="00000000" w:rsidDel="00000000" w:rsidP="00000000" w:rsidRDefault="00000000" w:rsidRPr="00000000" w14:paraId="000001F1">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XML</w:t>
            </w:r>
          </w:p>
        </w:tc>
        <w:tc>
          <w:tcPr/>
          <w:p w:rsidR="00000000" w:rsidDel="00000000" w:rsidP="00000000" w:rsidRDefault="00000000" w:rsidRPr="00000000" w14:paraId="000001F2">
            <w:pPr>
              <w:spacing w:line="276" w:lineRule="auto"/>
              <w:rPr>
                <w:rFonts w:ascii="Calibri" w:cs="Calibri" w:eastAsia="Calibri" w:hAnsi="Calibri"/>
                <w:color w:val="000000"/>
                <w:sz w:val="20"/>
                <w:szCs w:val="20"/>
              </w:rPr>
            </w:pPr>
            <w:r w:rsidDel="00000000" w:rsidR="00000000" w:rsidRPr="00000000">
              <w:rPr>
                <w:rFonts w:ascii="Calibri" w:cs="Calibri" w:eastAsia="Calibri" w:hAnsi="Calibri"/>
                <w:color w:val="000000"/>
                <w:sz w:val="20"/>
                <w:szCs w:val="20"/>
                <w:rtl w:val="0"/>
              </w:rPr>
              <w:t xml:space="preserve">eXtensible Markup Language</w:t>
            </w:r>
          </w:p>
        </w:tc>
      </w:tr>
    </w:tbl>
    <w:p w:rsidR="00000000" w:rsidDel="00000000" w:rsidP="00000000" w:rsidRDefault="00000000" w:rsidRPr="00000000" w14:paraId="000001F3">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bl>
      <w:tblPr>
        <w:tblStyle w:val="Table6"/>
        <w:tblW w:w="9475.0" w:type="dxa"/>
        <w:jc w:val="center"/>
        <w:tblBorders>
          <w:top w:color="7f7f7f" w:space="0" w:sz="6" w:val="single"/>
          <w:left w:color="7f7f7f" w:space="0" w:sz="6" w:val="single"/>
          <w:bottom w:color="7f7f7f" w:space="0" w:sz="6" w:val="single"/>
          <w:right w:color="7f7f7f" w:space="0" w:sz="6" w:val="single"/>
          <w:insideH w:color="7f7f7f" w:space="0" w:sz="6" w:val="single"/>
          <w:insideV w:color="7f7f7f" w:space="0" w:sz="6" w:val="single"/>
        </w:tblBorders>
        <w:tblLayout w:type="fixed"/>
        <w:tblLook w:val="0000"/>
      </w:tblPr>
      <w:tblGrid>
        <w:gridCol w:w="2160"/>
        <w:gridCol w:w="7315"/>
        <w:tblGridChange w:id="0">
          <w:tblGrid>
            <w:gridCol w:w="2160"/>
            <w:gridCol w:w="7315"/>
          </w:tblGrid>
        </w:tblGridChange>
      </w:tblGrid>
      <w:tr>
        <w:tc>
          <w:tcPr>
            <w:shd w:fill="1f497d" w:val="clear"/>
          </w:tcPr>
          <w:p w:rsidR="00000000" w:rsidDel="00000000" w:rsidP="00000000" w:rsidRDefault="00000000" w:rsidRPr="00000000" w14:paraId="000001F4">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Term</w:t>
            </w:r>
          </w:p>
        </w:tc>
        <w:tc>
          <w:tcPr>
            <w:shd w:fill="1f497d" w:val="clear"/>
          </w:tcPr>
          <w:p w:rsidR="00000000" w:rsidDel="00000000" w:rsidP="00000000" w:rsidRDefault="00000000" w:rsidRPr="00000000" w14:paraId="000001F5">
            <w:pPr>
              <w:keepNext w:val="1"/>
              <w:spacing w:line="276" w:lineRule="auto"/>
              <w:rPr>
                <w:rFonts w:ascii="Calibri" w:cs="Calibri" w:eastAsia="Calibri" w:hAnsi="Calibri"/>
                <w:b w:val="1"/>
                <w:color w:val="ffffff"/>
                <w:sz w:val="20"/>
                <w:szCs w:val="20"/>
              </w:rPr>
            </w:pPr>
            <w:r w:rsidDel="00000000" w:rsidR="00000000" w:rsidRPr="00000000">
              <w:rPr>
                <w:rFonts w:ascii="Calibri" w:cs="Calibri" w:eastAsia="Calibri" w:hAnsi="Calibri"/>
                <w:b w:val="1"/>
                <w:color w:val="ffffff"/>
                <w:sz w:val="20"/>
                <w:szCs w:val="20"/>
                <w:rtl w:val="0"/>
              </w:rPr>
              <w:t xml:space="preserve">Definition</w:t>
            </w:r>
          </w:p>
        </w:tc>
      </w:tr>
      <w:tr>
        <w:tc>
          <w:tcPr/>
          <w:p w:rsidR="00000000" w:rsidDel="00000000" w:rsidP="00000000" w:rsidRDefault="00000000" w:rsidRPr="00000000" w14:paraId="000001F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Descriptive Statistics</w:t>
            </w:r>
          </w:p>
        </w:tc>
        <w:tc>
          <w:tcPr/>
          <w:p w:rsidR="00000000" w:rsidDel="00000000" w:rsidP="00000000" w:rsidRDefault="00000000" w:rsidRPr="00000000" w14:paraId="000001F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Measures of central tendency and dispersion. Mean, median, mode, variance, and standard deviation. (https://www.khanacademy.org/math/probability/descriptive-statistics)</w:t>
            </w:r>
          </w:p>
        </w:tc>
      </w:tr>
      <w:tr>
        <w:tc>
          <w:tcPr/>
          <w:p w:rsidR="00000000" w:rsidDel="00000000" w:rsidP="00000000" w:rsidRDefault="00000000" w:rsidRPr="00000000" w14:paraId="000001F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Flow Variable</w:t>
            </w:r>
          </w:p>
        </w:tc>
        <w:tc>
          <w:tcPr/>
          <w:p w:rsidR="00000000" w:rsidDel="00000000" w:rsidP="00000000" w:rsidRDefault="00000000" w:rsidRPr="00000000" w14:paraId="000001F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 flow variable is a quantity which is measured with reference to a period of time.</w:t>
            </w:r>
          </w:p>
        </w:tc>
      </w:tr>
      <w:tr>
        <w:tc>
          <w:tcPr/>
          <w:p w:rsidR="00000000" w:rsidDel="00000000" w:rsidP="00000000" w:rsidRDefault="00000000" w:rsidRPr="00000000" w14:paraId="000001F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Multi-Dimensional Reports</w:t>
            </w:r>
          </w:p>
        </w:tc>
        <w:tc>
          <w:tcPr/>
          <w:p w:rsidR="00000000" w:rsidDel="00000000" w:rsidP="00000000" w:rsidRDefault="00000000" w:rsidRPr="00000000" w14:paraId="000001F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Multi-dimensional reports, also known as data cubes, are the main objects in online analytic processing (OLAP), a technology that provides fast access to data in a data warehouse. A cube is a set of data that is usually constructed from a subset of a data warehouse and is organized and summarized into a multidimensional structure defined by a set of dimensions and measures.</w:t>
            </w:r>
          </w:p>
        </w:tc>
      </w:tr>
      <w:tr>
        <w:tc>
          <w:tcPr/>
          <w:p w:rsidR="00000000" w:rsidDel="00000000" w:rsidP="00000000" w:rsidRDefault="00000000" w:rsidRPr="00000000" w14:paraId="000001F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Stakeholder</w:t>
            </w:r>
          </w:p>
        </w:tc>
        <w:tc>
          <w:tcPr/>
          <w:p w:rsidR="00000000" w:rsidDel="00000000" w:rsidP="00000000" w:rsidRDefault="00000000" w:rsidRPr="00000000" w14:paraId="000001F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An individual, group, or organization who may affect, be affected by, or perceive itself to be affected by a decision, activity, or outcome of a project.</w:t>
            </w:r>
          </w:p>
        </w:tc>
      </w:tr>
      <w:tr>
        <w:tc>
          <w:tcPr/>
          <w:p w:rsidR="00000000" w:rsidDel="00000000" w:rsidP="00000000" w:rsidRDefault="00000000" w:rsidRPr="00000000" w14:paraId="000001F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Stock Variable</w:t>
            </w:r>
          </w:p>
        </w:tc>
        <w:tc>
          <w:tcPr/>
          <w:p w:rsidR="00000000" w:rsidDel="00000000" w:rsidP="00000000" w:rsidRDefault="00000000" w:rsidRPr="00000000" w14:paraId="000001F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 stock variable is a quantity which is measurable at a particular point of time.</w:t>
            </w:r>
          </w:p>
        </w:tc>
      </w:tr>
      <w:tr>
        <w:tc>
          <w:tcPr/>
          <w:p w:rsidR="00000000" w:rsidDel="00000000" w:rsidP="00000000" w:rsidRDefault="00000000" w:rsidRPr="00000000" w14:paraId="0000020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100% Stacked Bar Chart</w:t>
            </w:r>
          </w:p>
        </w:tc>
        <w:tc>
          <w:tcPr/>
          <w:p w:rsidR="00000000" w:rsidDel="00000000" w:rsidP="00000000" w:rsidRDefault="00000000" w:rsidRPr="00000000" w14:paraId="0000020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 100% stacked bar chart is an Excel chart type designed to show the relative percentage of multiple data series in stacked bars, where the total (cumulative) of each stacked bar always equals 100%.</w:t>
            </w:r>
          </w:p>
        </w:tc>
      </w:tr>
    </w:tbl>
    <w:p w:rsidR="00000000" w:rsidDel="00000000" w:rsidP="00000000" w:rsidRDefault="00000000" w:rsidRPr="00000000" w14:paraId="00000202">
      <w:pPr>
        <w:keepNext w:val="0"/>
        <w:keepLines w:val="0"/>
        <w:widowControl w:val="1"/>
        <w:pBdr>
          <w:top w:space="0" w:sz="0" w:val="nil"/>
          <w:left w:space="0" w:sz="0" w:val="nil"/>
          <w:bottom w:space="0" w:sz="0" w:val="nil"/>
          <w:right w:space="0" w:sz="0" w:val="nil"/>
          <w:between w:space="0" w:sz="0" w:val="nil"/>
        </w:pBdr>
        <w:shd w:fill="auto" w:val="clear"/>
        <w:spacing w:after="120" w:before="0" w:line="276"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sectPr>
      <w:type w:val="continuous"/>
      <w:pgSz w:h="15840" w:w="12240"/>
      <w:pgMar w:bottom="1440" w:top="1944" w:left="1440" w:right="1440" w:header="547"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Times New Roman"/>
  <w:font w:name="Arial"/>
  <w:font w:name="Georgia"/>
  <w:font w:name="Calibri"/>
  <w:font w:name="Courier New"/>
  <w:font w:name="Times"/>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09">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Times" w:cs="Times" w:eastAsia="Times" w:hAnsi="Times"/>
        <w:b w:val="1"/>
        <w:i w:val="1"/>
        <w:smallCaps w:val="0"/>
        <w:strike w:val="0"/>
        <w:color w:val="a6a6a6"/>
        <w:sz w:val="20"/>
        <w:szCs w:val="20"/>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0B">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Times" w:cs="Times" w:eastAsia="Times" w:hAnsi="Times"/>
        <w:b w:val="1"/>
        <w:i w:val="1"/>
        <w:smallCaps w:val="0"/>
        <w:strike w:val="0"/>
        <w:color w:val="a6a6a6"/>
        <w:sz w:val="20"/>
        <w:szCs w:val="20"/>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0D">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Times" w:cs="Times" w:eastAsia="Times" w:hAnsi="Times"/>
        <w:b w:val="1"/>
        <w:i w:val="1"/>
        <w:smallCaps w:val="0"/>
        <w:strike w:val="0"/>
        <w:color w:val="a6a6a6"/>
        <w:sz w:val="20"/>
        <w:szCs w:val="20"/>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203">
      <w:pPr>
        <w:keepNext w:val="0"/>
        <w:keepLines w:val="0"/>
        <w:widowControl w:val="1"/>
        <w:pBdr>
          <w:top w:space="0" w:sz="0" w:val="nil"/>
          <w:left w:space="0" w:sz="0" w:val="nil"/>
          <w:bottom w:space="0" w:sz="0" w:val="nil"/>
          <w:right w:space="0" w:sz="0" w:val="nil"/>
          <w:between w:space="0" w:sz="0" w:val="nil"/>
        </w:pBdr>
        <w:shd w:fill="auto" w:val="clear"/>
        <w:tabs>
          <w:tab w:val="left" w:pos="270"/>
        </w:tabs>
        <w:spacing w:after="0" w:before="0" w:line="240" w:lineRule="auto"/>
        <w:ind w:left="270" w:right="0" w:hanging="27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ab/>
        <w:t xml:space="preserve">Minimal Useable SubseT (MUST)</w:t>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04">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Times" w:cs="Times" w:eastAsia="Times" w:hAnsi="Times"/>
        <w:b w:val="0"/>
        <w:i w:val="0"/>
        <w:smallCaps w:val="0"/>
        <w:strike w:val="0"/>
        <w:color w:val="a6a6a6"/>
        <w:sz w:val="28"/>
        <w:szCs w:val="28"/>
        <w:u w:val="none"/>
        <w:shd w:fill="auto" w:val="clear"/>
        <w:vertAlign w:val="baseline"/>
        <w:rtl w:val="0"/>
      </w:rPr>
      <w:tab/>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NATIONAL ARCHIVES AND RECORDS ADMINISTRATION (NARA)</w:t>
    </w:r>
    <w:r w:rsidDel="00000000" w:rsidR="00000000" w:rsidRPr="00000000">
      <w:drawing>
        <wp:anchor allowOverlap="1" behindDoc="0" distB="0" distT="0" distL="114300" distR="114300" hidden="0" layoutInCell="1" locked="0" relativeHeight="0" simplePos="0">
          <wp:simplePos x="0" y="0"/>
          <wp:positionH relativeFrom="column">
            <wp:posOffset>-78104</wp:posOffset>
          </wp:positionH>
          <wp:positionV relativeFrom="paragraph">
            <wp:posOffset>-109853</wp:posOffset>
          </wp:positionV>
          <wp:extent cx="1003935" cy="1003935"/>
          <wp:effectExtent b="0" l="0" r="0" t="0"/>
          <wp:wrapNone/>
          <wp:docPr descr="nalogo" id="1" name="image3.png"/>
          <a:graphic>
            <a:graphicData uri="http://schemas.openxmlformats.org/drawingml/2006/picture">
              <pic:pic>
                <pic:nvPicPr>
                  <pic:cNvPr descr="nalogo" id="0" name="image3.png"/>
                  <pic:cNvPicPr preferRelativeResize="0"/>
                </pic:nvPicPr>
                <pic:blipFill>
                  <a:blip r:embed="rId1"/>
                  <a:srcRect b="0" l="0" r="0" t="0"/>
                  <a:stretch>
                    <a:fillRect/>
                  </a:stretch>
                </pic:blipFill>
                <pic:spPr>
                  <a:xfrm>
                    <a:off x="0" y="0"/>
                    <a:ext cx="1003935" cy="1003935"/>
                  </a:xfrm>
                  <a:prstGeom prst="rect"/>
                  <a:ln/>
                </pic:spPr>
              </pic:pic>
            </a:graphicData>
          </a:graphic>
        </wp:anchor>
      </w:drawing>
    </w:r>
  </w:p>
  <w:p w:rsidR="00000000" w:rsidDel="00000000" w:rsidP="00000000" w:rsidRDefault="00000000" w:rsidRPr="00000000" w14:paraId="00000205">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mbria" w:cs="Cambria" w:eastAsia="Cambria" w:hAnsi="Cambria"/>
        <w:b w:val="0"/>
        <w:i w:val="0"/>
        <w:smallCaps w:val="0"/>
        <w:strike w:val="0"/>
        <w:color w:val="000000"/>
        <w:sz w:val="28"/>
        <w:szCs w:val="28"/>
        <w:u w:val="none"/>
        <w:shd w:fill="auto" w:val="clear"/>
        <w:vertAlign w:val="baseline"/>
      </w:rPr>
    </w:pPr>
    <w:r w:rsidDel="00000000" w:rsidR="00000000" w:rsidRPr="00000000">
      <w:rPr>
        <w:rFonts w:ascii="Cambria" w:cs="Cambria" w:eastAsia="Cambria" w:hAnsi="Cambria"/>
        <w:b w:val="0"/>
        <w:i w:val="0"/>
        <w:smallCaps w:val="0"/>
        <w:strike w:val="0"/>
        <w:color w:val="000000"/>
        <w:sz w:val="28"/>
        <w:szCs w:val="28"/>
        <w:u w:val="none"/>
        <w:shd w:fill="auto" w:val="clear"/>
        <w:vertAlign w:val="baseline"/>
        <w:rtl w:val="0"/>
      </w:rPr>
      <w:tab/>
    </w:r>
  </w:p>
  <w:p w:rsidR="00000000" w:rsidDel="00000000" w:rsidP="00000000" w:rsidRDefault="00000000" w:rsidRPr="00000000" w14:paraId="00000206">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mbria" w:cs="Cambria" w:eastAsia="Cambria" w:hAnsi="Cambria"/>
        <w:b w:val="0"/>
        <w:i w:val="0"/>
        <w:smallCaps w:val="0"/>
        <w:strike w:val="0"/>
        <w:color w:val="000000"/>
        <w:sz w:val="28"/>
        <w:szCs w:val="28"/>
        <w:u w:val="none"/>
        <w:shd w:fill="auto" w:val="clear"/>
        <w:vertAlign w:val="baseline"/>
      </w:rPr>
    </w:pPr>
    <w:r w:rsidDel="00000000" w:rsidR="00000000" w:rsidRPr="00000000">
      <w:rPr>
        <w:rFonts w:ascii="Cambria" w:cs="Cambria" w:eastAsia="Cambria" w:hAnsi="Cambria"/>
        <w:b w:val="0"/>
        <w:i w:val="0"/>
        <w:smallCaps w:val="0"/>
        <w:strike w:val="0"/>
        <w:color w:val="000000"/>
        <w:sz w:val="28"/>
        <w:szCs w:val="28"/>
        <w:u w:val="none"/>
        <w:shd w:fill="auto" w:val="clear"/>
        <w:vertAlign w:val="baseline"/>
        <w:rtl w:val="0"/>
      </w:rPr>
      <w:tab/>
    </w:r>
  </w:p>
  <w:p w:rsidR="00000000" w:rsidDel="00000000" w:rsidP="00000000" w:rsidRDefault="00000000" w:rsidRPr="00000000" w14:paraId="00000207">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mbria" w:cs="Cambria" w:eastAsia="Cambria" w:hAnsi="Cambria"/>
        <w:b w:val="0"/>
        <w:i w:val="0"/>
        <w:smallCaps w:val="0"/>
        <w:strike w:val="0"/>
        <w:color w:val="000000"/>
        <w:sz w:val="28"/>
        <w:szCs w:val="28"/>
        <w:u w:val="none"/>
        <w:shd w:fill="auto" w:val="clear"/>
        <w:vertAlign w:val="baseline"/>
      </w:rPr>
    </w:pPr>
    <w:r w:rsidDel="00000000" w:rsidR="00000000" w:rsidRPr="00000000">
      <w:rPr>
        <w:rFonts w:ascii="Cambria" w:cs="Cambria" w:eastAsia="Cambria" w:hAnsi="Cambria"/>
        <w:b w:val="0"/>
        <w:i w:val="0"/>
        <w:smallCaps w:val="0"/>
        <w:strike w:val="0"/>
        <w:color w:val="000000"/>
        <w:sz w:val="28"/>
        <w:szCs w:val="28"/>
        <w:u w:val="none"/>
        <w:shd w:fill="auto" w:val="clear"/>
        <w:vertAlign w:val="baseline"/>
        <w:rtl w:val="0"/>
      </w:rPr>
      <w:tab/>
    </w:r>
  </w:p>
  <w:p w:rsidR="00000000" w:rsidDel="00000000" w:rsidP="00000000" w:rsidRDefault="00000000" w:rsidRPr="00000000" w14:paraId="00000208">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mbria" w:cs="Cambria" w:eastAsia="Cambria" w:hAnsi="Cambria"/>
        <w:b w:val="0"/>
        <w:i w:val="0"/>
        <w:smallCaps w:val="0"/>
        <w:strike w:val="0"/>
        <w:color w:val="000000"/>
        <w:sz w:val="28"/>
        <w:szCs w:val="28"/>
        <w:u w:val="none"/>
        <w:shd w:fill="auto" w:val="clear"/>
        <w:vertAlign w:val="baseline"/>
      </w:rPr>
    </w:pPr>
    <w:r w:rsidDel="00000000" w:rsidR="00000000" w:rsidRPr="00000000">
      <w:rPr>
        <w:rFonts w:ascii="Cambria" w:cs="Cambria" w:eastAsia="Cambria" w:hAnsi="Cambria"/>
        <w:b w:val="0"/>
        <w:i w:val="0"/>
        <w:smallCaps w:val="0"/>
        <w:strike w:val="0"/>
        <w:color w:val="000000"/>
        <w:sz w:val="28"/>
        <w:szCs w:val="28"/>
        <w:u w:val="none"/>
        <w:shd w:fill="auto" w:val="clear"/>
        <w:vertAlign w:val="baseline"/>
        <w:rtl w:val="0"/>
      </w:rPr>
      <w:tab/>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0A">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Times" w:cs="Times" w:eastAsia="Times" w:hAnsi="Times"/>
        <w:b w:val="1"/>
        <w:i w:val="1"/>
        <w:smallCaps w:val="0"/>
        <w:strike w:val="0"/>
        <w:color w:val="a6a6a6"/>
        <w:sz w:val="20"/>
        <w:szCs w:val="20"/>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0C">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Times" w:cs="Times" w:eastAsia="Times" w:hAnsi="Times"/>
        <w:b w:val="1"/>
        <w:i w:val="1"/>
        <w:smallCaps w:val="0"/>
        <w:strike w:val="0"/>
        <w:color w:val="a6a6a6"/>
        <w:sz w:val="20"/>
        <w:szCs w:val="20"/>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0" w:firstLine="0"/>
      </w:pPr>
      <w:rPr/>
    </w:lvl>
    <w:lvl w:ilvl="1">
      <w:start w:val="1"/>
      <w:numFmt w:val="decimal"/>
      <w:lvlText w:val="%1.%2"/>
      <w:lvlJc w:val="left"/>
      <w:pPr>
        <w:ind w:left="0" w:firstLine="0"/>
      </w:pPr>
      <w:rPr/>
    </w:lvl>
    <w:lvl w:ilvl="2">
      <w:start w:val="1"/>
      <w:numFmt w:val="decimal"/>
      <w:lvlText w:val="%1.%2.%3"/>
      <w:lvlJc w:val="left"/>
      <w:pPr>
        <w:ind w:left="0" w:firstLine="0"/>
      </w:pPr>
      <w:rPr/>
    </w:lvl>
    <w:lvl w:ilvl="3">
      <w:start w:val="1"/>
      <w:numFmt w:val="decimal"/>
      <w:lvlText w:val="%1.%2.%3.%4"/>
      <w:lvlJc w:val="left"/>
      <w:pPr>
        <w:ind w:left="0" w:firstLine="0"/>
      </w:pPr>
      <w:rPr/>
    </w:lvl>
    <w:lvl w:ilvl="4">
      <w:start w:val="1"/>
      <w:numFmt w:val="decimal"/>
      <w:lvlText w:val="%1.%2.%3.%4.%5"/>
      <w:lvlJc w:val="left"/>
      <w:pPr>
        <w:ind w:left="0" w:firstLine="0"/>
      </w:pPr>
      <w:rPr/>
    </w:lvl>
    <w:lvl w:ilvl="5">
      <w:start w:val="1"/>
      <w:numFmt w:val="decimal"/>
      <w:lvlText w:val="%1.%2.%3.%4.%5.%6"/>
      <w:lvlJc w:val="left"/>
      <w:pPr>
        <w:ind w:left="0" w:firstLine="0"/>
      </w:pPr>
      <w:rPr/>
    </w:lvl>
    <w:lvl w:ilvl="6">
      <w:start w:val="1"/>
      <w:numFmt w:val="decimal"/>
      <w:lvlText w:val="%1.%2.%3.%4.%5.%6.%7"/>
      <w:lvlJc w:val="left"/>
      <w:pPr>
        <w:ind w:left="0" w:firstLine="0"/>
      </w:pPr>
      <w:rPr/>
    </w:lvl>
    <w:lvl w:ilvl="7">
      <w:start w:val="1"/>
      <w:numFmt w:val="decimal"/>
      <w:lvlText w:val="%1.%2.%3.%4.%5.%6.%7.%8"/>
      <w:lvlJc w:val="left"/>
      <w:pPr>
        <w:ind w:left="0" w:firstLine="0"/>
      </w:pPr>
      <w:rPr/>
    </w:lvl>
    <w:lvl w:ilvl="8">
      <w:start w:val="1"/>
      <w:numFmt w:val="decimal"/>
      <w:lvlText w:val="%1.%2.%3.%4.%5.%6.%7.%8.%9"/>
      <w:lvlJc w:val="left"/>
      <w:pPr>
        <w:ind w:left="0" w:firstLine="0"/>
      </w:pPr>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decimal"/>
      <w:lvlText w:val="1.3.2-%1."/>
      <w:lvlJc w:val="left"/>
      <w:pPr>
        <w:ind w:left="180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1"/>
      <w:numFmt w:val="decimal"/>
      <w:lvlText w:val="1.3.1-%1."/>
      <w:lvlJc w:val="left"/>
      <w:pPr>
        <w:ind w:left="2790" w:hanging="360"/>
      </w:pPr>
      <w:rPr>
        <w:i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decimal"/>
      <w:lvlText w:val="%1"/>
      <w:lvlJc w:val="left"/>
      <w:pPr>
        <w:ind w:left="0" w:firstLine="0"/>
      </w:pPr>
      <w:rPr/>
    </w:lvl>
    <w:lvl w:ilvl="1">
      <w:start w:val="1"/>
      <w:numFmt w:val="decimal"/>
      <w:lvlText w:val="%1.%2"/>
      <w:lvlJc w:val="left"/>
      <w:pPr>
        <w:ind w:left="0" w:firstLine="0"/>
      </w:pPr>
      <w:rPr/>
    </w:lvl>
    <w:lvl w:ilvl="2">
      <w:start w:val="1"/>
      <w:numFmt w:val="decimal"/>
      <w:lvlText w:val="%1.%2.%3"/>
      <w:lvlJc w:val="left"/>
      <w:pPr>
        <w:ind w:left="0" w:firstLine="0"/>
      </w:pPr>
      <w:rPr/>
    </w:lvl>
    <w:lvl w:ilvl="3">
      <w:start w:val="1"/>
      <w:numFmt w:val="decimal"/>
      <w:lvlText w:val="%1.%2.%3.%4"/>
      <w:lvlJc w:val="left"/>
      <w:pPr>
        <w:ind w:left="0" w:firstLine="0"/>
      </w:pPr>
      <w:rPr/>
    </w:lvl>
    <w:lvl w:ilvl="4">
      <w:start w:val="1"/>
      <w:numFmt w:val="decimal"/>
      <w:lvlText w:val="%1.%2.%3.%4.%5"/>
      <w:lvlJc w:val="left"/>
      <w:pPr>
        <w:ind w:left="0" w:firstLine="0"/>
      </w:pPr>
      <w:rPr/>
    </w:lvl>
    <w:lvl w:ilvl="5">
      <w:start w:val="1"/>
      <w:numFmt w:val="decimal"/>
      <w:lvlText w:val="%1.%2.%3.%4.%5.%6"/>
      <w:lvlJc w:val="left"/>
      <w:pPr>
        <w:ind w:left="0" w:firstLine="0"/>
      </w:pPr>
      <w:rPr/>
    </w:lvl>
    <w:lvl w:ilvl="6">
      <w:start w:val="1"/>
      <w:numFmt w:val="decimal"/>
      <w:lvlText w:val="%1.%2.%3.%4.%5.%6.%7"/>
      <w:lvlJc w:val="left"/>
      <w:pPr>
        <w:ind w:left="0" w:firstLine="0"/>
      </w:pPr>
      <w:rPr/>
    </w:lvl>
    <w:lvl w:ilvl="7">
      <w:start w:val="1"/>
      <w:numFmt w:val="decimal"/>
      <w:lvlText w:val="%1.%2.%3.%4.%5.%6.%7.%8"/>
      <w:lvlJc w:val="left"/>
      <w:pPr>
        <w:ind w:left="0" w:firstLine="0"/>
      </w:pPr>
      <w:rPr/>
    </w:lvl>
    <w:lvl w:ilvl="8">
      <w:start w:val="1"/>
      <w:numFmt w:val="decimal"/>
      <w:lvlText w:val="%1.%2.%3.%4.%5.%6.%7.%8.%9"/>
      <w:lvlJc w:val="left"/>
      <w:pPr>
        <w:ind w:left="0" w:firstLine="0"/>
      </w:pPr>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Times" w:cs="Times" w:eastAsia="Times" w:hAnsi="Times"/>
        <w:color w:val="a6a6a6"/>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tabs>
        <w:tab w:val="left" w:pos="360"/>
      </w:tabs>
      <w:spacing w:after="160" w:lineRule="auto"/>
      <w:ind w:left="0" w:firstLine="0"/>
    </w:pPr>
    <w:rPr>
      <w:rFonts w:ascii="Cambria" w:cs="Cambria" w:eastAsia="Cambria" w:hAnsi="Cambria"/>
      <w:b w:val="1"/>
      <w:color w:val="365f91"/>
      <w:sz w:val="28"/>
      <w:szCs w:val="28"/>
    </w:rPr>
  </w:style>
  <w:style w:type="paragraph" w:styleId="Heading2">
    <w:name w:val="heading 2"/>
    <w:basedOn w:val="Normal"/>
    <w:next w:val="Normal"/>
    <w:pPr>
      <w:keepNext w:val="1"/>
      <w:keepLines w:val="1"/>
      <w:tabs>
        <w:tab w:val="left" w:pos="540"/>
      </w:tabs>
      <w:spacing w:after="160" w:lineRule="auto"/>
      <w:ind w:left="0" w:firstLine="0"/>
    </w:pPr>
    <w:rPr>
      <w:rFonts w:ascii="Cambria" w:cs="Cambria" w:eastAsia="Cambria" w:hAnsi="Cambria"/>
      <w:b w:val="1"/>
      <w:color w:val="4f81bc"/>
      <w:sz w:val="26"/>
      <w:szCs w:val="26"/>
    </w:rPr>
  </w:style>
  <w:style w:type="paragraph" w:styleId="Heading3">
    <w:name w:val="heading 3"/>
    <w:basedOn w:val="Normal"/>
    <w:next w:val="Normal"/>
    <w:pPr>
      <w:spacing w:after="160" w:lineRule="auto"/>
      <w:ind w:left="0" w:firstLine="0"/>
    </w:pPr>
    <w:rPr>
      <w:rFonts w:ascii="Cambria" w:cs="Cambria" w:eastAsia="Cambria" w:hAnsi="Cambria"/>
      <w:color w:val="4f81bc"/>
      <w:sz w:val="22"/>
      <w:szCs w:val="22"/>
    </w:rPr>
  </w:style>
  <w:style w:type="paragraph" w:styleId="Heading4">
    <w:name w:val="heading 4"/>
    <w:basedOn w:val="Normal"/>
    <w:next w:val="Normal"/>
    <w:pPr>
      <w:keepNext w:val="1"/>
      <w:spacing w:after="60" w:before="240" w:line="240" w:lineRule="auto"/>
      <w:ind w:left="0" w:firstLine="0"/>
      <w:jc w:val="both"/>
    </w:pPr>
    <w:rPr>
      <w:rFonts w:ascii="Times New Roman" w:cs="Times New Roman" w:eastAsia="Times New Roman" w:hAnsi="Times New Roman"/>
      <w:b w:val="1"/>
      <w:i w:val="1"/>
      <w:sz w:val="22"/>
      <w:szCs w:val="22"/>
    </w:rPr>
  </w:style>
  <w:style w:type="paragraph" w:styleId="Heading5">
    <w:name w:val="heading 5"/>
    <w:basedOn w:val="Normal"/>
    <w:next w:val="Normal"/>
    <w:pPr>
      <w:spacing w:after="60" w:before="240" w:line="240" w:lineRule="auto"/>
      <w:ind w:left="0" w:firstLine="0"/>
      <w:jc w:val="both"/>
    </w:pPr>
    <w:rPr>
      <w:rFonts w:ascii="Arial" w:cs="Arial" w:eastAsia="Arial" w:hAnsi="Arial"/>
      <w:sz w:val="22"/>
      <w:szCs w:val="22"/>
    </w:rPr>
  </w:style>
  <w:style w:type="paragraph" w:styleId="Heading6">
    <w:name w:val="heading 6"/>
    <w:basedOn w:val="Normal"/>
    <w:next w:val="Normal"/>
    <w:pPr>
      <w:spacing w:after="60" w:before="240" w:line="240" w:lineRule="auto"/>
      <w:ind w:left="0" w:firstLine="0"/>
      <w:jc w:val="both"/>
    </w:pPr>
    <w:rPr>
      <w:rFonts w:ascii="Arial" w:cs="Arial" w:eastAsia="Arial" w:hAnsi="Arial"/>
      <w:i w:val="1"/>
      <w:sz w:val="22"/>
      <w:szCs w:val="22"/>
    </w:rPr>
  </w:style>
  <w:style w:type="paragraph" w:styleId="Title">
    <w:name w:val="Title"/>
    <w:basedOn w:val="Normal"/>
    <w:next w:val="Normal"/>
    <w:pPr>
      <w:spacing w:after="720" w:before="240" w:line="240" w:lineRule="auto"/>
      <w:jc w:val="right"/>
    </w:pPr>
    <w:rPr>
      <w:rFonts w:ascii="Arial" w:cs="Arial" w:eastAsia="Arial" w:hAnsi="Arial"/>
      <w:b w:val="1"/>
      <w:sz w:val="64"/>
      <w:szCs w:val="64"/>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43.0" w:type="dxa"/>
        <w:left w:w="43.0" w:type="dxa"/>
        <w:bottom w:w="43.0" w:type="dxa"/>
        <w:right w:w="43.0" w:type="dxa"/>
      </w:tblCellMar>
    </w:tblPr>
  </w:style>
  <w:style w:type="table" w:styleId="Table2">
    <w:basedOn w:val="TableNormal"/>
    <w:tblPr>
      <w:tblStyleRowBandSize w:val="1"/>
      <w:tblStyleColBandSize w:val="1"/>
      <w:tblCellMar>
        <w:top w:w="43.0" w:type="dxa"/>
        <w:left w:w="43.0" w:type="dxa"/>
        <w:bottom w:w="43.0" w:type="dxa"/>
        <w:right w:w="43.0" w:type="dxa"/>
      </w:tblCellMar>
    </w:tblPr>
  </w:style>
  <w:style w:type="table" w:styleId="Table3">
    <w:basedOn w:val="TableNormal"/>
    <w:tblPr>
      <w:tblStyleRowBandSize w:val="1"/>
      <w:tblStyleColBandSize w:val="1"/>
      <w:tblCellMar>
        <w:top w:w="43.0" w:type="dxa"/>
        <w:left w:w="43.0" w:type="dxa"/>
        <w:bottom w:w="43.0" w:type="dxa"/>
        <w:right w:w="43.0" w:type="dxa"/>
      </w:tblCellMar>
    </w:tblPr>
  </w:style>
  <w:style w:type="table" w:styleId="Table4">
    <w:basedOn w:val="TableNormal"/>
    <w:tblPr>
      <w:tblStyleRowBandSize w:val="1"/>
      <w:tblStyleColBandSize w:val="1"/>
      <w:tblCellMar>
        <w:top w:w="43.0" w:type="dxa"/>
        <w:left w:w="43.0" w:type="dxa"/>
        <w:bottom w:w="43.0" w:type="dxa"/>
        <w:right w:w="43.0" w:type="dxa"/>
      </w:tblCellMar>
    </w:tblPr>
  </w:style>
  <w:style w:type="table" w:styleId="Table5">
    <w:basedOn w:val="TableNormal"/>
    <w:tblPr>
      <w:tblStyleRowBandSize w:val="1"/>
      <w:tblStyleColBandSize w:val="1"/>
      <w:tblCellMar>
        <w:top w:w="43.0" w:type="dxa"/>
        <w:left w:w="43.0" w:type="dxa"/>
        <w:bottom w:w="43.0" w:type="dxa"/>
        <w:right w:w="43.0" w:type="dxa"/>
      </w:tblCellMar>
    </w:tblPr>
  </w:style>
  <w:style w:type="table" w:styleId="Table6">
    <w:basedOn w:val="TableNormal"/>
    <w:tblPr>
      <w:tblStyleRowBandSize w:val="1"/>
      <w:tblStyleColBandSize w:val="1"/>
      <w:tblCellMar>
        <w:top w:w="43.0" w:type="dxa"/>
        <w:left w:w="43.0" w:type="dxa"/>
        <w:bottom w:w="43.0" w:type="dxa"/>
        <w:right w:w="43.0" w:type="dxa"/>
      </w:tblCellMar>
    </w:tblPr>
  </w:style>
</w:styles>
</file>

<file path=word/_rels/document.xml.rels><?xml version="1.0" encoding="UTF-8" standalone="yes"?><Relationships xmlns="http://schemas.openxmlformats.org/package/2006/relationships"><Relationship Id="rId11" Type="http://schemas.openxmlformats.org/officeDocument/2006/relationships/footer" Target="footer2.xml"/><Relationship Id="rId10" Type="http://schemas.openxmlformats.org/officeDocument/2006/relationships/footer" Target="footer1.xml"/><Relationship Id="rId13" Type="http://schemas.openxmlformats.org/officeDocument/2006/relationships/hyperlink" Target="http://www.section508.gov/" TargetMode="External"/><Relationship Id="rId12" Type="http://schemas.openxmlformats.org/officeDocument/2006/relationships/footer" Target="footer3.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3.xml"/><Relationship Id="rId15" Type="http://schemas.openxmlformats.org/officeDocument/2006/relationships/image" Target="media/image1.png"/><Relationship Id="rId14" Type="http://schemas.openxmlformats.org/officeDocument/2006/relationships/hyperlink" Target="https://www.gpo.gov/fdsys/granule/FR-2017-01-18/2017-00395" TargetMode="External"/><Relationship Id="rId16" Type="http://schemas.openxmlformats.org/officeDocument/2006/relationships/image" Target="media/image2.png"/><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header" Target="header1.xml"/><Relationship Id="rId8"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