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A62F" w14:textId="77777777" w:rsidR="0079156E" w:rsidRPr="008F3172" w:rsidRDefault="008F3172" w:rsidP="00A31178">
      <w:pPr>
        <w:spacing w:after="0" w:line="240" w:lineRule="auto"/>
        <w:ind w:left="-720" w:right="-720"/>
        <w:jc w:val="center"/>
        <w:rPr>
          <w:b/>
          <w:sz w:val="36"/>
          <w:szCs w:val="36"/>
        </w:rPr>
      </w:pPr>
      <w:r w:rsidRPr="008F3172">
        <w:rPr>
          <w:b/>
          <w:sz w:val="36"/>
          <w:szCs w:val="36"/>
        </w:rPr>
        <w:t>GENERAL RECORDS SCHEDULE</w:t>
      </w:r>
      <w:r w:rsidR="00DC68B5">
        <w:rPr>
          <w:b/>
          <w:sz w:val="36"/>
          <w:szCs w:val="36"/>
        </w:rPr>
        <w:t xml:space="preserve"> </w:t>
      </w:r>
      <w:r w:rsidR="00C022C2">
        <w:rPr>
          <w:b/>
          <w:sz w:val="36"/>
          <w:szCs w:val="36"/>
        </w:rPr>
        <w:t>1</w:t>
      </w:r>
      <w:r w:rsidR="00DC68B5">
        <w:rPr>
          <w:b/>
          <w:sz w:val="36"/>
          <w:szCs w:val="36"/>
        </w:rPr>
        <w:t xml:space="preserve">.1:  </w:t>
      </w:r>
      <w:r w:rsidR="00C022C2" w:rsidRPr="00C022C2">
        <w:rPr>
          <w:b/>
          <w:sz w:val="36"/>
          <w:szCs w:val="36"/>
        </w:rPr>
        <w:t>Financial Management and Reporting</w:t>
      </w:r>
      <w:r w:rsidR="00C022C2">
        <w:rPr>
          <w:b/>
          <w:sz w:val="36"/>
          <w:szCs w:val="36"/>
        </w:rPr>
        <w:t xml:space="preserve"> </w:t>
      </w:r>
      <w:r w:rsidR="00DC68B5">
        <w:rPr>
          <w:b/>
          <w:sz w:val="36"/>
          <w:szCs w:val="36"/>
        </w:rPr>
        <w:t>Records</w:t>
      </w:r>
    </w:p>
    <w:p w14:paraId="1BEC1B2A" w14:textId="77777777" w:rsidR="00552BD0" w:rsidRPr="00C022C2" w:rsidRDefault="00552BD0" w:rsidP="00C022C2">
      <w:pPr>
        <w:spacing w:after="0" w:line="240" w:lineRule="auto"/>
        <w:ind w:left="-720"/>
      </w:pPr>
    </w:p>
    <w:p w14:paraId="4BDAD5AD" w14:textId="77777777" w:rsidR="00C022C2" w:rsidRPr="00D27256" w:rsidRDefault="00C022C2" w:rsidP="00A31178">
      <w:pPr>
        <w:tabs>
          <w:tab w:val="left" w:pos="-1080"/>
          <w:tab w:val="left" w:pos="-720"/>
          <w:tab w:val="left" w:pos="720"/>
          <w:tab w:val="left" w:pos="1080"/>
          <w:tab w:val="left" w:pos="1440"/>
          <w:tab w:val="left" w:pos="3600"/>
        </w:tabs>
        <w:spacing w:after="0" w:line="240" w:lineRule="auto"/>
        <w:ind w:left="-720" w:right="-720"/>
        <w:outlineLvl w:val="0"/>
      </w:pPr>
      <w:r w:rsidRPr="00AF24D7">
        <w:t xml:space="preserve">This schedule covers records created by Federal agencies in carrying out the work of financial management: procuring goods and services, paying bills, collecting debts, accounting for all financial transactions, and monitoring agencies’ net worth.  </w:t>
      </w:r>
      <w:r w:rsidRPr="00D27256">
        <w:t>It does not apply to copies of records forwarded to the Department of Treasury or the Office of Management and Budget in fulfillment of reporting requirements.  These forwarded copies serve unique business purposes at those agencies and are therefore scheduled separately as records of OMB and Treasury.</w:t>
      </w:r>
    </w:p>
    <w:p w14:paraId="25442943" w14:textId="77777777" w:rsidR="00C022C2" w:rsidRPr="00D27256" w:rsidRDefault="00C022C2" w:rsidP="00A31178">
      <w:pPr>
        <w:tabs>
          <w:tab w:val="left" w:pos="-1080"/>
          <w:tab w:val="left" w:pos="-720"/>
          <w:tab w:val="left" w:pos="720"/>
          <w:tab w:val="left" w:pos="1080"/>
          <w:tab w:val="left" w:pos="1440"/>
          <w:tab w:val="left" w:pos="3600"/>
        </w:tabs>
        <w:spacing w:after="0" w:line="240" w:lineRule="auto"/>
        <w:ind w:left="-720" w:right="-720"/>
        <w:outlineLvl w:val="0"/>
      </w:pPr>
    </w:p>
    <w:p w14:paraId="42EFB9E5" w14:textId="77777777" w:rsidR="00C022C2" w:rsidRDefault="00C022C2" w:rsidP="00A31178">
      <w:pPr>
        <w:tabs>
          <w:tab w:val="left" w:pos="-1080"/>
          <w:tab w:val="left" w:pos="-720"/>
          <w:tab w:val="left" w:pos="720"/>
          <w:tab w:val="left" w:pos="1080"/>
          <w:tab w:val="left" w:pos="1440"/>
          <w:tab w:val="left" w:pos="3600"/>
        </w:tabs>
        <w:spacing w:after="0" w:line="240" w:lineRule="auto"/>
        <w:ind w:left="-720" w:right="-720"/>
        <w:outlineLvl w:val="0"/>
      </w:pPr>
      <w:r w:rsidRPr="00D27256">
        <w:t>This schedule covers financial management records of grants and cooperative agreements but does not cover administrative records of such grants and agreements.  These administrative records are covered in GRS 1.2.</w:t>
      </w:r>
    </w:p>
    <w:p w14:paraId="01BB55C5" w14:textId="77777777" w:rsidR="00C022C2" w:rsidRDefault="00C022C2" w:rsidP="00A31178">
      <w:pPr>
        <w:tabs>
          <w:tab w:val="left" w:pos="-1080"/>
          <w:tab w:val="left" w:pos="-720"/>
          <w:tab w:val="left" w:pos="720"/>
          <w:tab w:val="left" w:pos="1080"/>
          <w:tab w:val="left" w:pos="1440"/>
          <w:tab w:val="left" w:pos="3600"/>
        </w:tabs>
        <w:spacing w:after="0" w:line="240" w:lineRule="auto"/>
        <w:ind w:left="-720" w:right="-720"/>
        <w:outlineLvl w:val="0"/>
      </w:pPr>
    </w:p>
    <w:p w14:paraId="0AD6164D" w14:textId="77777777" w:rsidR="00C022C2" w:rsidRDefault="00C022C2" w:rsidP="00A31178">
      <w:pPr>
        <w:tabs>
          <w:tab w:val="left" w:pos="-1080"/>
          <w:tab w:val="left" w:pos="-720"/>
          <w:tab w:val="left" w:pos="720"/>
          <w:tab w:val="left" w:pos="1080"/>
          <w:tab w:val="left" w:pos="1440"/>
          <w:tab w:val="left" w:pos="3600"/>
        </w:tabs>
        <w:spacing w:after="0" w:line="240" w:lineRule="auto"/>
        <w:ind w:left="-720" w:right="-720"/>
        <w:outlineLvl w:val="0"/>
      </w:pPr>
      <w:r w:rsidRPr="00704333">
        <w:t xml:space="preserve">This schedule covers financial transactions and reporting but not overall planning for finance.  These records are covered under </w:t>
      </w:r>
      <w:r w:rsidR="000A45B2">
        <w:t>GRS 1.3</w:t>
      </w:r>
      <w:r w:rsidRPr="00704333">
        <w:t>.</w:t>
      </w:r>
    </w:p>
    <w:p w14:paraId="52223023" w14:textId="77777777" w:rsidR="00C022C2" w:rsidRDefault="00C022C2" w:rsidP="00A31178">
      <w:pPr>
        <w:tabs>
          <w:tab w:val="left" w:pos="-1080"/>
          <w:tab w:val="left" w:pos="-720"/>
          <w:tab w:val="left" w:pos="720"/>
          <w:tab w:val="left" w:pos="1080"/>
          <w:tab w:val="left" w:pos="1440"/>
          <w:tab w:val="left" w:pos="3600"/>
        </w:tabs>
        <w:spacing w:after="0" w:line="240" w:lineRule="auto"/>
        <w:ind w:left="-720" w:right="-720"/>
        <w:outlineLvl w:val="0"/>
      </w:pPr>
    </w:p>
    <w:p w14:paraId="049D86FA" w14:textId="77777777" w:rsidR="00C022C2" w:rsidRPr="005001BD" w:rsidRDefault="00C022C2" w:rsidP="00A31178">
      <w:pPr>
        <w:tabs>
          <w:tab w:val="left" w:pos="-1080"/>
          <w:tab w:val="left" w:pos="-720"/>
          <w:tab w:val="left" w:pos="720"/>
          <w:tab w:val="left" w:pos="1080"/>
          <w:tab w:val="left" w:pos="1440"/>
          <w:tab w:val="left" w:pos="3600"/>
        </w:tabs>
        <w:spacing w:after="0" w:line="240" w:lineRule="auto"/>
        <w:ind w:left="-720" w:right="-720"/>
        <w:outlineLvl w:val="0"/>
      </w:pPr>
      <w:r w:rsidRPr="005001BD">
        <w:t>This schedule covers contract records maintained by Federal agencies but not records maintained by contractors, which are governed by 48 CFR 4, subpart 4.7.</w:t>
      </w:r>
    </w:p>
    <w:p w14:paraId="2A4FC7F7" w14:textId="77777777" w:rsidR="00C022C2" w:rsidRPr="005001BD" w:rsidRDefault="00C022C2" w:rsidP="00A31178">
      <w:pPr>
        <w:tabs>
          <w:tab w:val="left" w:pos="-1080"/>
          <w:tab w:val="left" w:pos="-720"/>
          <w:tab w:val="left" w:pos="720"/>
          <w:tab w:val="left" w:pos="1080"/>
          <w:tab w:val="left" w:pos="1440"/>
          <w:tab w:val="left" w:pos="3600"/>
        </w:tabs>
        <w:spacing w:after="0" w:line="240" w:lineRule="auto"/>
        <w:ind w:left="-720" w:right="-720"/>
        <w:outlineLvl w:val="0"/>
      </w:pPr>
    </w:p>
    <w:p w14:paraId="51B70979" w14:textId="77777777" w:rsidR="00C022C2" w:rsidRDefault="00C022C2" w:rsidP="00A31178">
      <w:pPr>
        <w:spacing w:after="0" w:line="240" w:lineRule="auto"/>
        <w:ind w:left="-720" w:right="-720"/>
      </w:pPr>
      <w:r w:rsidRPr="005001BD">
        <w:t>This schedule covers financial transactions as an administrative function common to all agencies, but not administrative records documenting unique agency missions, such as student loan collection or seeking reimbursement for Superfund cleanups.</w:t>
      </w:r>
    </w:p>
    <w:p w14:paraId="75F35061" w14:textId="77777777" w:rsidR="004C30CB" w:rsidRDefault="004C30CB" w:rsidP="00A31178">
      <w:pPr>
        <w:spacing w:after="0" w:line="240" w:lineRule="auto"/>
        <w:ind w:left="-720" w:right="-720"/>
      </w:pPr>
    </w:p>
    <w:p w14:paraId="125F88E2" w14:textId="77777777" w:rsidR="004C30CB" w:rsidRPr="00C022C2" w:rsidRDefault="004C30CB" w:rsidP="00A31178">
      <w:pPr>
        <w:spacing w:after="0" w:line="240" w:lineRule="auto"/>
        <w:ind w:left="-720" w:right="-720"/>
      </w:pPr>
      <w:r w:rsidRPr="003F6B0D">
        <w:rPr>
          <w:rFonts w:eastAsia="Times New Roman"/>
        </w:rPr>
        <w:t>Agencies must offer any records created prior to January 1, 1921, to the National Archives and Records Administration (NARA) before applying disposition instructions in this schedule.</w:t>
      </w:r>
    </w:p>
    <w:p w14:paraId="76131273" w14:textId="77777777" w:rsidR="00C022C2" w:rsidRPr="00B804F9" w:rsidRDefault="00C022C2" w:rsidP="00C022C2">
      <w:pPr>
        <w:spacing w:after="0" w:line="240" w:lineRule="auto"/>
        <w:rPr>
          <w:sz w:val="20"/>
          <w:szCs w:val="20"/>
        </w:rPr>
      </w:pPr>
    </w:p>
    <w:tbl>
      <w:tblPr>
        <w:tblW w:w="144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7"/>
        <w:gridCol w:w="5220"/>
        <w:gridCol w:w="4320"/>
        <w:gridCol w:w="1080"/>
        <w:gridCol w:w="1890"/>
        <w:gridCol w:w="1260"/>
      </w:tblGrid>
      <w:tr w:rsidR="00054195" w:rsidRPr="0056338E" w14:paraId="3E05185D" w14:textId="77777777" w:rsidTr="00A47EEE">
        <w:trPr>
          <w:tblHeader/>
        </w:trPr>
        <w:tc>
          <w:tcPr>
            <w:tcW w:w="727" w:type="dxa"/>
            <w:shd w:val="clear" w:color="auto" w:fill="B6DDE8"/>
          </w:tcPr>
          <w:p w14:paraId="54B7C980" w14:textId="77777777" w:rsidR="00054195" w:rsidRPr="0056338E" w:rsidRDefault="00054195" w:rsidP="000A6C12">
            <w:pPr>
              <w:spacing w:after="0" w:line="240" w:lineRule="auto"/>
              <w:jc w:val="center"/>
              <w:rPr>
                <w:rFonts w:asciiTheme="minorHAnsi" w:hAnsiTheme="minorHAnsi" w:cs="Calibri"/>
                <w:b/>
              </w:rPr>
            </w:pPr>
            <w:r w:rsidRPr="0056338E">
              <w:rPr>
                <w:rFonts w:asciiTheme="minorHAnsi" w:hAnsiTheme="minorHAnsi" w:cs="Calibri"/>
                <w:b/>
              </w:rPr>
              <w:t>Item</w:t>
            </w:r>
          </w:p>
        </w:tc>
        <w:tc>
          <w:tcPr>
            <w:tcW w:w="10620" w:type="dxa"/>
            <w:gridSpan w:val="3"/>
            <w:shd w:val="clear" w:color="auto" w:fill="B6DDE8"/>
          </w:tcPr>
          <w:p w14:paraId="29BA19EE" w14:textId="77777777" w:rsidR="00054195" w:rsidRPr="0056338E" w:rsidRDefault="00054195" w:rsidP="000A6C12">
            <w:pPr>
              <w:spacing w:after="0" w:line="240" w:lineRule="auto"/>
              <w:rPr>
                <w:rFonts w:asciiTheme="minorHAnsi" w:hAnsiTheme="minorHAnsi" w:cs="Calibri"/>
                <w:b/>
              </w:rPr>
            </w:pPr>
            <w:r w:rsidRPr="0056338E">
              <w:rPr>
                <w:rFonts w:asciiTheme="minorHAnsi" w:hAnsiTheme="minorHAnsi" w:cs="Calibri"/>
                <w:b/>
              </w:rPr>
              <w:t>Records Description</w:t>
            </w:r>
          </w:p>
        </w:tc>
        <w:tc>
          <w:tcPr>
            <w:tcW w:w="1890" w:type="dxa"/>
            <w:shd w:val="clear" w:color="auto" w:fill="B6DDE8"/>
          </w:tcPr>
          <w:p w14:paraId="63817E8C" w14:textId="77777777" w:rsidR="00054195" w:rsidRPr="0056338E" w:rsidRDefault="00054195" w:rsidP="000A6C12">
            <w:pPr>
              <w:spacing w:after="0" w:line="240" w:lineRule="auto"/>
              <w:rPr>
                <w:rFonts w:asciiTheme="minorHAnsi" w:hAnsiTheme="minorHAnsi" w:cs="Calibri"/>
                <w:b/>
              </w:rPr>
            </w:pPr>
            <w:r w:rsidRPr="0056338E">
              <w:rPr>
                <w:rFonts w:asciiTheme="minorHAnsi" w:hAnsiTheme="minorHAnsi" w:cs="Calibri"/>
                <w:b/>
              </w:rPr>
              <w:t xml:space="preserve">Disposition Instruction </w:t>
            </w:r>
          </w:p>
        </w:tc>
        <w:tc>
          <w:tcPr>
            <w:tcW w:w="1260" w:type="dxa"/>
            <w:shd w:val="clear" w:color="auto" w:fill="B6DDE8"/>
          </w:tcPr>
          <w:p w14:paraId="79E0BED0" w14:textId="77777777" w:rsidR="00054195" w:rsidRPr="0056338E" w:rsidRDefault="00054195" w:rsidP="00054195">
            <w:pPr>
              <w:spacing w:after="0" w:line="240" w:lineRule="auto"/>
              <w:jc w:val="center"/>
              <w:rPr>
                <w:rFonts w:asciiTheme="minorHAnsi" w:hAnsiTheme="minorHAnsi" w:cs="Calibri"/>
                <w:b/>
              </w:rPr>
            </w:pPr>
            <w:r w:rsidRPr="0056338E">
              <w:rPr>
                <w:rFonts w:asciiTheme="minorHAnsi" w:hAnsiTheme="minorHAnsi" w:cs="Calibri"/>
                <w:b/>
              </w:rPr>
              <w:t>Disposition Authority</w:t>
            </w:r>
          </w:p>
        </w:tc>
      </w:tr>
      <w:tr w:rsidR="00C12B45" w:rsidRPr="0056338E" w14:paraId="7C1D8F3A" w14:textId="77777777" w:rsidTr="00A47EEE">
        <w:trPr>
          <w:trHeight w:val="1315"/>
        </w:trPr>
        <w:tc>
          <w:tcPr>
            <w:tcW w:w="727" w:type="dxa"/>
            <w:tcBorders>
              <w:bottom w:val="single" w:sz="4" w:space="0" w:color="auto"/>
            </w:tcBorders>
          </w:tcPr>
          <w:p w14:paraId="648489B7" w14:textId="77777777" w:rsidR="00C12B45" w:rsidRDefault="00C12B45" w:rsidP="00C12B45">
            <w:pPr>
              <w:spacing w:after="0" w:line="240" w:lineRule="auto"/>
              <w:jc w:val="center"/>
            </w:pPr>
            <w:r>
              <w:t>001</w:t>
            </w:r>
          </w:p>
        </w:tc>
        <w:tc>
          <w:tcPr>
            <w:tcW w:w="10620" w:type="dxa"/>
            <w:gridSpan w:val="3"/>
            <w:tcBorders>
              <w:bottom w:val="single" w:sz="4" w:space="0" w:color="auto"/>
            </w:tcBorders>
          </w:tcPr>
          <w:p w14:paraId="4BA41AD4" w14:textId="77777777" w:rsidR="00C12B45" w:rsidRDefault="00C12B45" w:rsidP="00C12B45">
            <w:pPr>
              <w:spacing w:after="0" w:line="240" w:lineRule="auto"/>
              <w:ind w:left="11"/>
            </w:pPr>
            <w:r>
              <w:rPr>
                <w:b/>
              </w:rPr>
              <w:t>Financial management and reporting administrative records.</w:t>
            </w:r>
          </w:p>
          <w:p w14:paraId="71A61FB0" w14:textId="77777777" w:rsidR="00C12B45" w:rsidRDefault="00C12B45" w:rsidP="00C12B45">
            <w:pPr>
              <w:spacing w:after="0" w:line="240" w:lineRule="auto"/>
              <w:ind w:left="335"/>
            </w:pPr>
            <w:r>
              <w:t>Records related to managing financial activities and reporting. Records include:</w:t>
            </w:r>
          </w:p>
          <w:p w14:paraId="0D1A99A1" w14:textId="77777777" w:rsidR="00C12B45" w:rsidRDefault="00C12B45" w:rsidP="00915C60">
            <w:pPr>
              <w:pStyle w:val="ListParagraph"/>
              <w:numPr>
                <w:ilvl w:val="0"/>
                <w:numId w:val="31"/>
              </w:numPr>
              <w:spacing w:after="0" w:line="240" w:lineRule="auto"/>
              <w:ind w:left="575" w:hanging="215"/>
            </w:pPr>
            <w:r>
              <w:t>correspondence</w:t>
            </w:r>
          </w:p>
          <w:p w14:paraId="50845E2C" w14:textId="77777777" w:rsidR="00C12B45" w:rsidRDefault="00C12B45" w:rsidP="00915C60">
            <w:pPr>
              <w:pStyle w:val="ListParagraph"/>
              <w:numPr>
                <w:ilvl w:val="0"/>
                <w:numId w:val="31"/>
              </w:numPr>
              <w:spacing w:after="0" w:line="240" w:lineRule="auto"/>
              <w:ind w:left="575" w:hanging="215"/>
            </w:pPr>
            <w:r>
              <w:t>subject files</w:t>
            </w:r>
          </w:p>
          <w:p w14:paraId="011DB008" w14:textId="77777777" w:rsidR="00C12B45" w:rsidRDefault="00C12B45" w:rsidP="00915C60">
            <w:pPr>
              <w:pStyle w:val="ListParagraph"/>
              <w:numPr>
                <w:ilvl w:val="0"/>
                <w:numId w:val="31"/>
              </w:numPr>
              <w:spacing w:after="0" w:line="240" w:lineRule="auto"/>
              <w:ind w:left="575" w:hanging="215"/>
            </w:pPr>
            <w:r>
              <w:t>feeder reports</w:t>
            </w:r>
          </w:p>
          <w:p w14:paraId="6AF6C18D" w14:textId="77777777" w:rsidR="00C12B45" w:rsidRDefault="00C12B45" w:rsidP="00915C60">
            <w:pPr>
              <w:pStyle w:val="ListParagraph"/>
              <w:numPr>
                <w:ilvl w:val="0"/>
                <w:numId w:val="31"/>
              </w:numPr>
              <w:spacing w:after="0" w:line="240" w:lineRule="auto"/>
              <w:ind w:left="575" w:hanging="215"/>
            </w:pPr>
            <w:r>
              <w:t>workload management and assignment records</w:t>
            </w:r>
          </w:p>
        </w:tc>
        <w:tc>
          <w:tcPr>
            <w:tcW w:w="1890" w:type="dxa"/>
            <w:tcBorders>
              <w:bottom w:val="single" w:sz="4" w:space="0" w:color="auto"/>
            </w:tcBorders>
          </w:tcPr>
          <w:p w14:paraId="176C233B" w14:textId="77777777" w:rsidR="00C12B45" w:rsidRDefault="00C12B45" w:rsidP="00C12B45">
            <w:pPr>
              <w:spacing w:after="0" w:line="240" w:lineRule="auto"/>
            </w:pPr>
            <w:r>
              <w:rPr>
                <w:b/>
              </w:rPr>
              <w:t>Temporary.</w:t>
            </w:r>
            <w:r>
              <w:t xml:space="preserve"> Destroy when 3 years old, but longer retention is authorized if needed for business use.</w:t>
            </w:r>
          </w:p>
        </w:tc>
        <w:tc>
          <w:tcPr>
            <w:tcW w:w="1260" w:type="dxa"/>
            <w:tcBorders>
              <w:bottom w:val="single" w:sz="4" w:space="0" w:color="auto"/>
            </w:tcBorders>
          </w:tcPr>
          <w:p w14:paraId="2A9047C1" w14:textId="77777777" w:rsidR="00C12B45" w:rsidRDefault="00C12B45" w:rsidP="00C12B45">
            <w:pPr>
              <w:spacing w:after="0" w:line="240" w:lineRule="auto"/>
            </w:pPr>
            <w:r>
              <w:t>DAA-GRS-2016-0013-0001</w:t>
            </w:r>
          </w:p>
        </w:tc>
      </w:tr>
      <w:tr w:rsidR="00C12B45" w:rsidRPr="0056338E" w14:paraId="049601FD" w14:textId="77777777" w:rsidTr="00A47EEE">
        <w:trPr>
          <w:trHeight w:val="1315"/>
        </w:trPr>
        <w:tc>
          <w:tcPr>
            <w:tcW w:w="727" w:type="dxa"/>
            <w:tcBorders>
              <w:bottom w:val="single" w:sz="4" w:space="0" w:color="auto"/>
            </w:tcBorders>
          </w:tcPr>
          <w:p w14:paraId="150C954A" w14:textId="77777777" w:rsidR="00C12B45" w:rsidRPr="0056338E" w:rsidRDefault="00C12B45" w:rsidP="00C12B45">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Calibri"/>
              </w:rPr>
            </w:pPr>
            <w:r w:rsidRPr="0056338E">
              <w:rPr>
                <w:rFonts w:asciiTheme="minorHAnsi" w:hAnsiTheme="minorHAnsi" w:cs="Calibri"/>
              </w:rPr>
              <w:t>010</w:t>
            </w:r>
          </w:p>
        </w:tc>
        <w:tc>
          <w:tcPr>
            <w:tcW w:w="9540" w:type="dxa"/>
            <w:gridSpan w:val="2"/>
            <w:vMerge w:val="restart"/>
            <w:tcBorders>
              <w:bottom w:val="single" w:sz="4" w:space="0" w:color="auto"/>
            </w:tcBorders>
          </w:tcPr>
          <w:p w14:paraId="1EC7FD0B" w14:textId="77777777" w:rsidR="00C12B45" w:rsidRPr="0056338E" w:rsidRDefault="00C12B45" w:rsidP="00C12B45">
            <w:pPr>
              <w:tabs>
                <w:tab w:val="left" w:pos="-1080"/>
                <w:tab w:val="left" w:pos="-720"/>
                <w:tab w:val="left" w:pos="342"/>
                <w:tab w:val="left" w:pos="720"/>
                <w:tab w:val="left" w:pos="1080"/>
                <w:tab w:val="left" w:pos="1440"/>
                <w:tab w:val="left" w:pos="3600"/>
              </w:tabs>
              <w:spacing w:after="0" w:line="240" w:lineRule="auto"/>
              <w:rPr>
                <w:rFonts w:asciiTheme="minorHAnsi" w:hAnsiTheme="minorHAnsi" w:cs="Calibri"/>
                <w:b/>
              </w:rPr>
            </w:pPr>
            <w:r w:rsidRPr="0056338E">
              <w:rPr>
                <w:rFonts w:asciiTheme="minorHAnsi" w:hAnsiTheme="minorHAnsi" w:cs="Calibri"/>
                <w:b/>
              </w:rPr>
              <w:t>Financial transaction records related to procuring goods and services, paying bills, collecting debts, and accounting.</w:t>
            </w:r>
          </w:p>
          <w:p w14:paraId="79435B92" w14:textId="77777777" w:rsidR="00C12B45" w:rsidRPr="0056338E" w:rsidRDefault="00C12B45" w:rsidP="00C12B45">
            <w:pPr>
              <w:autoSpaceDE w:val="0"/>
              <w:autoSpaceDN w:val="0"/>
              <w:adjustRightInd w:val="0"/>
              <w:spacing w:after="0" w:line="240" w:lineRule="auto"/>
              <w:ind w:left="360"/>
              <w:rPr>
                <w:rFonts w:asciiTheme="minorHAnsi" w:hAnsiTheme="minorHAnsi" w:cs="Calibri"/>
              </w:rPr>
            </w:pPr>
            <w:r w:rsidRPr="0056338E">
              <w:rPr>
                <w:rFonts w:asciiTheme="minorHAnsi" w:hAnsiTheme="minorHAnsi" w:cs="Calibri"/>
              </w:rPr>
              <w:t xml:space="preserve">Many records included in this item are maintained by accountable officers to account for the availability and status of public funds, and are retained to enable GAO, Office of Inspector General, or other authority audit. </w:t>
            </w:r>
          </w:p>
          <w:p w14:paraId="281CE24E" w14:textId="77777777" w:rsidR="00C12B45" w:rsidRPr="0056338E" w:rsidRDefault="00C12B45" w:rsidP="00C12B45">
            <w:pPr>
              <w:autoSpaceDE w:val="0"/>
              <w:autoSpaceDN w:val="0"/>
              <w:adjustRightInd w:val="0"/>
              <w:spacing w:after="0" w:line="240" w:lineRule="auto"/>
              <w:ind w:left="360"/>
              <w:rPr>
                <w:rFonts w:asciiTheme="minorHAnsi" w:hAnsiTheme="minorHAnsi" w:cs="Calibri"/>
              </w:rPr>
            </w:pPr>
          </w:p>
          <w:p w14:paraId="7722A452" w14:textId="77777777" w:rsidR="00C12B45" w:rsidRPr="0056338E" w:rsidRDefault="00C12B45" w:rsidP="00C12B45">
            <w:pPr>
              <w:autoSpaceDE w:val="0"/>
              <w:autoSpaceDN w:val="0"/>
              <w:adjustRightInd w:val="0"/>
              <w:spacing w:after="0" w:line="240" w:lineRule="auto"/>
              <w:ind w:left="360"/>
              <w:rPr>
                <w:rFonts w:asciiTheme="minorHAnsi" w:hAnsiTheme="minorHAnsi" w:cs="Calibri"/>
              </w:rPr>
            </w:pPr>
            <w:r w:rsidRPr="0056338E">
              <w:rPr>
                <w:rFonts w:asciiTheme="minorHAnsi" w:hAnsiTheme="minorHAnsi" w:cs="Calibri"/>
              </w:rPr>
              <w:t xml:space="preserve">Financial transaction records include those created </w:t>
            </w:r>
            <w:proofErr w:type="gramStart"/>
            <w:r w:rsidRPr="0056338E">
              <w:rPr>
                <w:rFonts w:asciiTheme="minorHAnsi" w:hAnsiTheme="minorHAnsi" w:cs="Calibri"/>
              </w:rPr>
              <w:t>in the course of</w:t>
            </w:r>
            <w:proofErr w:type="gramEnd"/>
            <w:r w:rsidRPr="0056338E">
              <w:rPr>
                <w:rFonts w:asciiTheme="minorHAnsi" w:hAnsiTheme="minorHAnsi" w:cs="Calibri"/>
              </w:rPr>
              <w:t xml:space="preserve"> procuring goods and services, paying bills, collecting debts, and accounting for all finance activity, per the following definitions.</w:t>
            </w:r>
          </w:p>
          <w:p w14:paraId="0706E3C4" w14:textId="77777777" w:rsidR="00C12B45" w:rsidRPr="0056338E" w:rsidRDefault="00C12B45" w:rsidP="00C12B45">
            <w:pPr>
              <w:autoSpaceDE w:val="0"/>
              <w:autoSpaceDN w:val="0"/>
              <w:adjustRightInd w:val="0"/>
              <w:spacing w:after="0" w:line="240" w:lineRule="auto"/>
              <w:ind w:left="360"/>
              <w:rPr>
                <w:rFonts w:asciiTheme="minorHAnsi" w:hAnsiTheme="minorHAnsi" w:cs="Calibri"/>
              </w:rPr>
            </w:pPr>
          </w:p>
          <w:p w14:paraId="2E5C80FD" w14:textId="77777777" w:rsidR="00C12B45" w:rsidRPr="0056338E" w:rsidRDefault="00C12B45" w:rsidP="00C12B45">
            <w:pPr>
              <w:tabs>
                <w:tab w:val="left" w:pos="-1080"/>
                <w:tab w:val="left" w:pos="-720"/>
                <w:tab w:val="left" w:pos="360"/>
                <w:tab w:val="left" w:pos="720"/>
                <w:tab w:val="left" w:pos="1080"/>
                <w:tab w:val="left" w:pos="1440"/>
                <w:tab w:val="left" w:pos="3600"/>
              </w:tabs>
              <w:spacing w:after="0" w:line="240" w:lineRule="auto"/>
              <w:ind w:left="360"/>
              <w:outlineLvl w:val="0"/>
              <w:rPr>
                <w:rFonts w:asciiTheme="minorHAnsi" w:hAnsiTheme="minorHAnsi" w:cs="Calibri"/>
              </w:rPr>
            </w:pPr>
            <w:r w:rsidRPr="0056338E">
              <w:rPr>
                <w:rFonts w:asciiTheme="minorHAnsi" w:hAnsiTheme="minorHAnsi" w:cs="Calibri"/>
                <w:b/>
              </w:rPr>
              <w:t>Procuring goods and services</w:t>
            </w:r>
            <w:r w:rsidRPr="0056338E">
              <w:rPr>
                <w:rFonts w:asciiTheme="minorHAnsi" w:hAnsiTheme="minorHAnsi" w:cs="Calibri"/>
              </w:rPr>
              <w:t xml:space="preserve"> is the acquisition of physical goods, products, personal property, capital assets, infrastructure services such as utilities, and contracted personnel services to be used by the Federal Government.</w:t>
            </w:r>
            <w:r w:rsidRPr="0056338E">
              <w:rPr>
                <w:rFonts w:asciiTheme="minorHAnsi" w:hAnsiTheme="minorHAnsi" w:cs="Calibri"/>
                <w:b/>
              </w:rPr>
              <w:t xml:space="preserve"> Paying bills</w:t>
            </w:r>
            <w:r w:rsidRPr="0056338E">
              <w:rPr>
                <w:rFonts w:asciiTheme="minorHAnsi" w:hAnsiTheme="minorHAnsi" w:cs="Calibri"/>
              </w:rPr>
              <w:t xml:space="preserve"> means disbursements of federal funds for goods and </w:t>
            </w:r>
            <w:proofErr w:type="gramStart"/>
            <w:r w:rsidRPr="0056338E">
              <w:rPr>
                <w:rFonts w:asciiTheme="minorHAnsi" w:hAnsiTheme="minorHAnsi" w:cs="Calibri"/>
              </w:rPr>
              <w:t>services, and</w:t>
            </w:r>
            <w:proofErr w:type="gramEnd"/>
            <w:r w:rsidRPr="0056338E">
              <w:rPr>
                <w:rFonts w:asciiTheme="minorHAnsi" w:hAnsiTheme="minorHAnsi" w:cs="Calibri"/>
              </w:rPr>
              <w:t xml:space="preserve"> fulfilling financial obligations to grant and cooperative agreement recipients.  Procurement and payment records include those such as:</w:t>
            </w:r>
          </w:p>
          <w:p w14:paraId="2DCD38E3"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92" w:hanging="432"/>
              <w:rPr>
                <w:rFonts w:asciiTheme="minorHAnsi" w:hAnsiTheme="minorHAnsi" w:cs="Calibri"/>
              </w:rPr>
            </w:pPr>
            <w:r>
              <w:rPr>
                <w:rFonts w:asciiTheme="minorHAnsi" w:hAnsiTheme="minorHAnsi" w:cs="Calibri"/>
              </w:rPr>
              <w:t>c</w:t>
            </w:r>
            <w:r w:rsidRPr="0056338E">
              <w:rPr>
                <w:rFonts w:asciiTheme="minorHAnsi" w:hAnsiTheme="minorHAnsi" w:cs="Calibri"/>
              </w:rPr>
              <w:t>ontracts</w:t>
            </w:r>
          </w:p>
          <w:p w14:paraId="350C212D"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92" w:hanging="432"/>
              <w:rPr>
                <w:rFonts w:asciiTheme="minorHAnsi" w:hAnsiTheme="minorHAnsi" w:cs="Calibri"/>
              </w:rPr>
            </w:pPr>
            <w:r>
              <w:rPr>
                <w:rFonts w:asciiTheme="minorHAnsi" w:hAnsiTheme="minorHAnsi" w:cs="Calibri"/>
              </w:rPr>
              <w:t>r</w:t>
            </w:r>
            <w:r w:rsidRPr="0056338E">
              <w:rPr>
                <w:rFonts w:asciiTheme="minorHAnsi" w:hAnsiTheme="minorHAnsi" w:cs="Calibri"/>
              </w:rPr>
              <w:t>equisitions</w:t>
            </w:r>
          </w:p>
          <w:p w14:paraId="2D61847B"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92" w:hanging="432"/>
              <w:rPr>
                <w:rFonts w:asciiTheme="minorHAnsi" w:hAnsiTheme="minorHAnsi" w:cs="Calibri"/>
              </w:rPr>
            </w:pPr>
            <w:r>
              <w:rPr>
                <w:rFonts w:asciiTheme="minorHAnsi" w:hAnsiTheme="minorHAnsi" w:cs="Calibri"/>
              </w:rPr>
              <w:t>p</w:t>
            </w:r>
            <w:r w:rsidRPr="0056338E">
              <w:rPr>
                <w:rFonts w:asciiTheme="minorHAnsi" w:hAnsiTheme="minorHAnsi" w:cs="Calibri"/>
              </w:rPr>
              <w:t xml:space="preserve">urchase orders </w:t>
            </w:r>
          </w:p>
          <w:p w14:paraId="112420F4"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i</w:t>
            </w:r>
            <w:r w:rsidRPr="0056338E">
              <w:rPr>
                <w:rFonts w:asciiTheme="minorHAnsi" w:hAnsiTheme="minorHAnsi" w:cs="Calibri"/>
              </w:rPr>
              <w:t>nteragency agreements</w:t>
            </w:r>
          </w:p>
          <w:p w14:paraId="3210E1F2"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M</w:t>
            </w:r>
            <w:r w:rsidRPr="0056338E">
              <w:rPr>
                <w:rFonts w:asciiTheme="minorHAnsi" w:hAnsiTheme="minorHAnsi" w:cs="Calibri"/>
              </w:rPr>
              <w:t>ilitary Interdepartmental Purchase Requests (MIPRs)</w:t>
            </w:r>
          </w:p>
          <w:p w14:paraId="4CB8C852"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p</w:t>
            </w:r>
            <w:r w:rsidRPr="0056338E">
              <w:rPr>
                <w:rFonts w:asciiTheme="minorHAnsi" w:hAnsiTheme="minorHAnsi" w:cs="Calibri"/>
              </w:rPr>
              <w:t xml:space="preserve">rinting requisitions to the Government Printing Office </w:t>
            </w:r>
          </w:p>
          <w:p w14:paraId="67E9CF99"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m</w:t>
            </w:r>
            <w:r w:rsidRPr="0056338E">
              <w:rPr>
                <w:rFonts w:asciiTheme="minorHAnsi" w:hAnsiTheme="minorHAnsi" w:cs="Calibri"/>
              </w:rPr>
              <w:t>emoranda of agreement specifying a financial obligation</w:t>
            </w:r>
          </w:p>
          <w:p w14:paraId="0FCE0A4F"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s</w:t>
            </w:r>
            <w:r w:rsidRPr="0056338E">
              <w:rPr>
                <w:rFonts w:asciiTheme="minorHAnsi" w:hAnsiTheme="minorHAnsi" w:cs="Calibri"/>
              </w:rPr>
              <w:t>olicitations/requests for bids, quotations or proposals for contracts and competitive grants</w:t>
            </w:r>
          </w:p>
          <w:p w14:paraId="6E6E377D"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p</w:t>
            </w:r>
            <w:r w:rsidRPr="0056338E">
              <w:rPr>
                <w:rFonts w:asciiTheme="minorHAnsi" w:hAnsiTheme="minorHAnsi" w:cs="Calibri"/>
              </w:rPr>
              <w:t>roposals, quotations, bids (accepted, rejected, unopened) for contracts and competitive grants</w:t>
            </w:r>
          </w:p>
          <w:p w14:paraId="1553987F"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c</w:t>
            </w:r>
            <w:r w:rsidRPr="0056338E">
              <w:rPr>
                <w:rFonts w:asciiTheme="minorHAnsi" w:hAnsiTheme="minorHAnsi" w:cs="Calibri"/>
              </w:rPr>
              <w:t xml:space="preserve">ontingent fee justifications </w:t>
            </w:r>
          </w:p>
          <w:p w14:paraId="430DEAC5"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l</w:t>
            </w:r>
            <w:r w:rsidRPr="0056338E">
              <w:rPr>
                <w:rFonts w:asciiTheme="minorHAnsi" w:hAnsiTheme="minorHAnsi" w:cs="Calibri"/>
              </w:rPr>
              <w:t xml:space="preserve">egal and financial instruments such as bond and surety records </w:t>
            </w:r>
          </w:p>
          <w:p w14:paraId="07F46EF9"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sidRPr="0056338E">
              <w:rPr>
                <w:rFonts w:asciiTheme="minorHAnsi" w:hAnsiTheme="minorHAnsi" w:cs="Calibri"/>
              </w:rPr>
              <w:t>FAIR Act (A-76) records linked directly to specific procurement actions</w:t>
            </w:r>
          </w:p>
          <w:p w14:paraId="4751ED0C"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c</w:t>
            </w:r>
            <w:r w:rsidRPr="0056338E">
              <w:rPr>
                <w:rFonts w:asciiTheme="minorHAnsi" w:hAnsiTheme="minorHAnsi" w:cs="Calibri"/>
              </w:rPr>
              <w:t xml:space="preserve">redit card/purchase card/charge card statements and supporting documentation </w:t>
            </w:r>
          </w:p>
          <w:p w14:paraId="2CFFADBE"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v</w:t>
            </w:r>
            <w:r w:rsidRPr="0056338E">
              <w:rPr>
                <w:rFonts w:asciiTheme="minorHAnsi" w:hAnsiTheme="minorHAnsi" w:cs="Calibri"/>
              </w:rPr>
              <w:t xml:space="preserve">endor tax exemption records </w:t>
            </w:r>
          </w:p>
          <w:p w14:paraId="67B91754"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i</w:t>
            </w:r>
            <w:r w:rsidRPr="0056338E">
              <w:rPr>
                <w:rFonts w:asciiTheme="minorHAnsi" w:hAnsiTheme="minorHAnsi" w:cs="Calibri"/>
              </w:rPr>
              <w:t xml:space="preserve">nvoices </w:t>
            </w:r>
          </w:p>
          <w:p w14:paraId="42C0F264"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l</w:t>
            </w:r>
            <w:r w:rsidRPr="0056338E">
              <w:rPr>
                <w:rFonts w:asciiTheme="minorHAnsi" w:hAnsiTheme="minorHAnsi" w:cs="Calibri"/>
              </w:rPr>
              <w:t xml:space="preserve">eases </w:t>
            </w:r>
          </w:p>
          <w:p w14:paraId="7F1FD059" w14:textId="77777777" w:rsidR="00C12B45" w:rsidRPr="0056338E" w:rsidRDefault="00C12B45" w:rsidP="00C12B45">
            <w:pPr>
              <w:numPr>
                <w:ilvl w:val="0"/>
                <w:numId w:val="5"/>
              </w:numPr>
              <w:tabs>
                <w:tab w:val="left" w:pos="-1080"/>
                <w:tab w:val="left" w:pos="-720"/>
                <w:tab w:val="left" w:pos="0"/>
                <w:tab w:val="left" w:pos="605"/>
                <w:tab w:val="left" w:pos="1080"/>
                <w:tab w:val="left" w:pos="1440"/>
                <w:tab w:val="left" w:pos="3600"/>
              </w:tabs>
              <w:spacing w:after="0" w:line="240" w:lineRule="auto"/>
              <w:ind w:left="785" w:hanging="425"/>
              <w:rPr>
                <w:rFonts w:asciiTheme="minorHAnsi" w:hAnsiTheme="minorHAnsi" w:cs="Calibri"/>
              </w:rPr>
            </w:pPr>
            <w:r>
              <w:rPr>
                <w:rFonts w:asciiTheme="minorHAnsi" w:hAnsiTheme="minorHAnsi" w:cs="Calibri"/>
              </w:rPr>
              <w:t>r</w:t>
            </w:r>
            <w:r w:rsidRPr="0056338E">
              <w:rPr>
                <w:rFonts w:asciiTheme="minorHAnsi" w:hAnsiTheme="minorHAnsi" w:cs="Calibri"/>
              </w:rPr>
              <w:t xml:space="preserve">ecurring financial transactions such as utility and communications invoices </w:t>
            </w:r>
          </w:p>
          <w:p w14:paraId="0288E75D" w14:textId="77777777" w:rsidR="00C12B45" w:rsidRPr="0056338E" w:rsidRDefault="00C12B45" w:rsidP="00EE4566">
            <w:pPr>
              <w:numPr>
                <w:ilvl w:val="0"/>
                <w:numId w:val="5"/>
              </w:numPr>
              <w:tabs>
                <w:tab w:val="left" w:pos="-1080"/>
                <w:tab w:val="left" w:pos="-720"/>
                <w:tab w:val="left" w:pos="0"/>
                <w:tab w:val="left" w:pos="605"/>
                <w:tab w:val="left" w:pos="1080"/>
                <w:tab w:val="left" w:pos="1440"/>
                <w:tab w:val="left" w:pos="3600"/>
              </w:tabs>
              <w:spacing w:after="0" w:line="240" w:lineRule="auto"/>
              <w:ind w:left="598" w:hanging="238"/>
              <w:rPr>
                <w:rFonts w:asciiTheme="minorHAnsi" w:hAnsiTheme="minorHAnsi" w:cs="Calibri"/>
              </w:rPr>
            </w:pPr>
            <w:r>
              <w:rPr>
                <w:rFonts w:asciiTheme="minorHAnsi" w:hAnsiTheme="minorHAnsi" w:cs="Calibri"/>
              </w:rPr>
              <w:t>d</w:t>
            </w:r>
            <w:r w:rsidRPr="0056338E">
              <w:rPr>
                <w:rFonts w:asciiTheme="minorHAnsi" w:hAnsiTheme="minorHAnsi" w:cs="Calibri"/>
              </w:rPr>
              <w:t>ocumentation of contractual administrative requirements submitted by contractors such as status reports</w:t>
            </w:r>
          </w:p>
          <w:p w14:paraId="5920862B" w14:textId="77777777" w:rsidR="00C12B45" w:rsidRPr="0056338E" w:rsidRDefault="00C12B45" w:rsidP="00EE4566">
            <w:pPr>
              <w:numPr>
                <w:ilvl w:val="0"/>
                <w:numId w:val="5"/>
              </w:numPr>
              <w:tabs>
                <w:tab w:val="left" w:pos="-1080"/>
                <w:tab w:val="left" w:pos="-720"/>
                <w:tab w:val="left" w:pos="0"/>
                <w:tab w:val="left" w:pos="605"/>
                <w:tab w:val="left" w:pos="1080"/>
                <w:tab w:val="left" w:pos="1440"/>
                <w:tab w:val="left" w:pos="3600"/>
              </w:tabs>
              <w:spacing w:after="0" w:line="240" w:lineRule="auto"/>
              <w:ind w:left="598" w:hanging="238"/>
              <w:rPr>
                <w:rFonts w:asciiTheme="minorHAnsi" w:hAnsiTheme="minorHAnsi" w:cs="Calibri"/>
              </w:rPr>
            </w:pPr>
            <w:r>
              <w:rPr>
                <w:rFonts w:asciiTheme="minorHAnsi" w:hAnsiTheme="minorHAnsi" w:cs="Calibri"/>
              </w:rPr>
              <w:t>c</w:t>
            </w:r>
            <w:r w:rsidRPr="0056338E">
              <w:rPr>
                <w:rFonts w:asciiTheme="minorHAnsi" w:hAnsiTheme="minorHAnsi" w:cs="Calibri"/>
              </w:rPr>
              <w:t xml:space="preserve">orrespondence and papers pertaining to award, administration, receipt, inspection of and payment for goods and services in this list </w:t>
            </w:r>
          </w:p>
          <w:p w14:paraId="4FC7FFFB" w14:textId="77777777" w:rsidR="00C12B45" w:rsidRPr="0056338E" w:rsidRDefault="00C12B45" w:rsidP="00EE4566">
            <w:pPr>
              <w:numPr>
                <w:ilvl w:val="0"/>
                <w:numId w:val="5"/>
              </w:numPr>
              <w:tabs>
                <w:tab w:val="left" w:pos="-1080"/>
                <w:tab w:val="left" w:pos="-720"/>
                <w:tab w:val="left" w:pos="0"/>
                <w:tab w:val="left" w:pos="605"/>
                <w:tab w:val="left" w:pos="1080"/>
                <w:tab w:val="left" w:pos="1440"/>
                <w:tab w:val="left" w:pos="3600"/>
              </w:tabs>
              <w:spacing w:after="0" w:line="240" w:lineRule="auto"/>
              <w:ind w:left="598" w:hanging="238"/>
              <w:rPr>
                <w:rFonts w:asciiTheme="minorHAnsi" w:hAnsiTheme="minorHAnsi" w:cs="Calibri"/>
              </w:rPr>
            </w:pPr>
            <w:r>
              <w:rPr>
                <w:rFonts w:asciiTheme="minorHAnsi" w:hAnsiTheme="minorHAnsi" w:cs="Calibri"/>
                <w:color w:val="000000"/>
              </w:rPr>
              <w:t>r</w:t>
            </w:r>
            <w:r w:rsidRPr="0056338E">
              <w:rPr>
                <w:rFonts w:asciiTheme="minorHAnsi" w:hAnsiTheme="minorHAnsi" w:cs="Calibri"/>
                <w:color w:val="000000"/>
              </w:rPr>
              <w:t>ecords of financing employee relocations</w:t>
            </w:r>
          </w:p>
          <w:p w14:paraId="46B4214A" w14:textId="77777777" w:rsidR="00C12B45" w:rsidRPr="0056338E" w:rsidRDefault="00C12B45" w:rsidP="00C12B45">
            <w:pPr>
              <w:tabs>
                <w:tab w:val="left" w:pos="-1080"/>
                <w:tab w:val="left" w:pos="-720"/>
                <w:tab w:val="left" w:pos="0"/>
                <w:tab w:val="left" w:pos="360"/>
                <w:tab w:val="left" w:pos="720"/>
                <w:tab w:val="left" w:pos="1080"/>
                <w:tab w:val="left" w:pos="1440"/>
                <w:tab w:val="left" w:pos="3600"/>
              </w:tabs>
              <w:spacing w:after="0" w:line="240" w:lineRule="auto"/>
              <w:ind w:left="360"/>
              <w:rPr>
                <w:rFonts w:asciiTheme="minorHAnsi" w:hAnsiTheme="minorHAnsi" w:cs="Calibri"/>
              </w:rPr>
            </w:pPr>
          </w:p>
          <w:p w14:paraId="076DFD50" w14:textId="77777777" w:rsidR="00C12B45" w:rsidRPr="0056338E" w:rsidRDefault="00C12B45" w:rsidP="00C12B45">
            <w:pPr>
              <w:pStyle w:val="ListParagraph"/>
              <w:spacing w:after="0" w:line="240" w:lineRule="auto"/>
              <w:ind w:left="360"/>
              <w:rPr>
                <w:rFonts w:asciiTheme="minorHAnsi" w:hAnsiTheme="minorHAnsi" w:cs="Calibri"/>
              </w:rPr>
            </w:pPr>
            <w:r w:rsidRPr="0056338E">
              <w:rPr>
                <w:rFonts w:asciiTheme="minorHAnsi" w:hAnsiTheme="minorHAnsi" w:cs="Calibri"/>
                <w:b/>
              </w:rPr>
              <w:lastRenderedPageBreak/>
              <w:t>Collecting debts</w:t>
            </w:r>
            <w:r w:rsidRPr="0056338E">
              <w:rPr>
                <w:rFonts w:asciiTheme="minorHAnsi" w:hAnsiTheme="minorHAnsi" w:cs="Calibri"/>
              </w:rPr>
              <w:t xml:space="preserve"> includes the collection of income from all sources (excluding taxation).  </w:t>
            </w:r>
            <w:proofErr w:type="gramStart"/>
            <w:r w:rsidRPr="0056338E">
              <w:rPr>
                <w:rFonts w:asciiTheme="minorHAnsi" w:hAnsiTheme="minorHAnsi" w:cs="Calibri"/>
              </w:rPr>
              <w:t>Collections</w:t>
            </w:r>
            <w:proofErr w:type="gramEnd"/>
            <w:r w:rsidRPr="0056338E">
              <w:rPr>
                <w:rFonts w:asciiTheme="minorHAnsi" w:hAnsiTheme="minorHAnsi" w:cs="Calibri"/>
              </w:rPr>
              <w:t xml:space="preserve"> records document collection of monies from all sources excluding administrative claims, taxation (not covered under the GRS), and Congressional appropriation, such as:</w:t>
            </w:r>
          </w:p>
          <w:p w14:paraId="219B88FB" w14:textId="77777777" w:rsidR="00C12B45" w:rsidRPr="0056338E" w:rsidRDefault="00C12B45" w:rsidP="00EE4566">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616" w:hanging="256"/>
              <w:rPr>
                <w:rFonts w:asciiTheme="minorHAnsi" w:hAnsiTheme="minorHAnsi" w:cs="Calibri"/>
              </w:rPr>
            </w:pPr>
            <w:r>
              <w:rPr>
                <w:rFonts w:asciiTheme="minorHAnsi" w:hAnsiTheme="minorHAnsi" w:cs="Calibri"/>
              </w:rPr>
              <w:t>r</w:t>
            </w:r>
            <w:r w:rsidRPr="0056338E">
              <w:rPr>
                <w:rFonts w:asciiTheme="minorHAnsi" w:hAnsiTheme="minorHAnsi" w:cs="Calibri"/>
              </w:rPr>
              <w:t xml:space="preserve">ecords documenting administration, receipt, and deposit of user fees for entry into and/or use of public facilities; for recovering costs of providing government services; and receipt of donations, bequests, and other collections from the public, including: </w:t>
            </w:r>
          </w:p>
          <w:p w14:paraId="66E2D162" w14:textId="77777777" w:rsidR="00C12B45" w:rsidRPr="0056338E" w:rsidRDefault="00C12B45" w:rsidP="00EE4566">
            <w:pPr>
              <w:numPr>
                <w:ilvl w:val="1"/>
                <w:numId w:val="6"/>
              </w:numPr>
              <w:spacing w:after="0" w:line="240" w:lineRule="auto"/>
              <w:ind w:left="904" w:hanging="295"/>
              <w:rPr>
                <w:rFonts w:asciiTheme="minorHAnsi" w:hAnsiTheme="minorHAnsi" w:cs="Calibri"/>
              </w:rPr>
            </w:pPr>
            <w:r>
              <w:rPr>
                <w:rFonts w:asciiTheme="minorHAnsi" w:hAnsiTheme="minorHAnsi" w:cs="Calibri"/>
              </w:rPr>
              <w:t>c</w:t>
            </w:r>
            <w:r w:rsidRPr="0056338E">
              <w:rPr>
                <w:rFonts w:asciiTheme="minorHAnsi" w:hAnsiTheme="minorHAnsi" w:cs="Calibri"/>
              </w:rPr>
              <w:t xml:space="preserve">ash register transaction records </w:t>
            </w:r>
          </w:p>
          <w:p w14:paraId="26879264" w14:textId="77777777" w:rsidR="00C12B45" w:rsidRPr="0056338E" w:rsidRDefault="00C12B45" w:rsidP="00EE4566">
            <w:pPr>
              <w:numPr>
                <w:ilvl w:val="1"/>
                <w:numId w:val="6"/>
              </w:numPr>
              <w:spacing w:after="0" w:line="240" w:lineRule="auto"/>
              <w:ind w:left="904" w:hanging="295"/>
              <w:rPr>
                <w:rFonts w:asciiTheme="minorHAnsi" w:hAnsiTheme="minorHAnsi" w:cs="Calibri"/>
              </w:rPr>
            </w:pPr>
            <w:r>
              <w:rPr>
                <w:rFonts w:asciiTheme="minorHAnsi" w:hAnsiTheme="minorHAnsi" w:cs="Calibri"/>
              </w:rPr>
              <w:t>c</w:t>
            </w:r>
            <w:r w:rsidRPr="0056338E">
              <w:rPr>
                <w:rFonts w:asciiTheme="minorHAnsi" w:hAnsiTheme="minorHAnsi" w:cs="Calibri"/>
              </w:rPr>
              <w:t xml:space="preserve">redit card and charge cards receipts </w:t>
            </w:r>
          </w:p>
          <w:p w14:paraId="3A07CE7C" w14:textId="77777777" w:rsidR="00C12B45" w:rsidRPr="0056338E" w:rsidRDefault="00C12B45" w:rsidP="00EE4566">
            <w:pPr>
              <w:numPr>
                <w:ilvl w:val="1"/>
                <w:numId w:val="6"/>
              </w:numPr>
              <w:spacing w:after="0" w:line="240" w:lineRule="auto"/>
              <w:ind w:left="904" w:hanging="295"/>
              <w:rPr>
                <w:rFonts w:asciiTheme="minorHAnsi" w:hAnsiTheme="minorHAnsi" w:cs="Calibri"/>
              </w:rPr>
            </w:pPr>
            <w:r>
              <w:rPr>
                <w:rFonts w:asciiTheme="minorHAnsi" w:hAnsiTheme="minorHAnsi" w:cs="Calibri"/>
              </w:rPr>
              <w:t>r</w:t>
            </w:r>
            <w:r w:rsidRPr="0056338E">
              <w:rPr>
                <w:rFonts w:asciiTheme="minorHAnsi" w:hAnsiTheme="minorHAnsi" w:cs="Calibri"/>
              </w:rPr>
              <w:t xml:space="preserve">ecords documenting deposits </w:t>
            </w:r>
          </w:p>
          <w:p w14:paraId="588941D0" w14:textId="77777777" w:rsidR="00C12B45" w:rsidRPr="0056338E" w:rsidRDefault="00C12B45" w:rsidP="00EE4566">
            <w:pPr>
              <w:numPr>
                <w:ilvl w:val="1"/>
                <w:numId w:val="6"/>
              </w:numPr>
              <w:spacing w:after="0" w:line="240" w:lineRule="auto"/>
              <w:ind w:left="904" w:hanging="295"/>
              <w:rPr>
                <w:rFonts w:asciiTheme="minorHAnsi" w:hAnsiTheme="minorHAnsi" w:cs="Calibri"/>
              </w:rPr>
            </w:pPr>
            <w:r>
              <w:rPr>
                <w:rFonts w:asciiTheme="minorHAnsi" w:hAnsiTheme="minorHAnsi" w:cs="Calibri"/>
              </w:rPr>
              <w:t>r</w:t>
            </w:r>
            <w:r w:rsidRPr="0056338E">
              <w:rPr>
                <w:rFonts w:asciiTheme="minorHAnsi" w:hAnsiTheme="minorHAnsi" w:cs="Calibri"/>
              </w:rPr>
              <w:t xml:space="preserve">ecords documenting allocation of fees to funds/accounts </w:t>
            </w:r>
          </w:p>
          <w:p w14:paraId="24AEAF71" w14:textId="77777777" w:rsidR="00C12B45" w:rsidRPr="0056338E" w:rsidRDefault="00C12B45" w:rsidP="00EE4566">
            <w:pPr>
              <w:numPr>
                <w:ilvl w:val="1"/>
                <w:numId w:val="6"/>
              </w:numPr>
              <w:tabs>
                <w:tab w:val="left" w:pos="-1080"/>
                <w:tab w:val="left" w:pos="-720"/>
                <w:tab w:val="left" w:pos="0"/>
                <w:tab w:val="left" w:pos="360"/>
                <w:tab w:val="left" w:pos="720"/>
                <w:tab w:val="left" w:pos="1080"/>
                <w:tab w:val="left" w:pos="1440"/>
                <w:tab w:val="left" w:pos="3600"/>
              </w:tabs>
              <w:spacing w:after="0" w:line="240" w:lineRule="auto"/>
              <w:ind w:left="904" w:hanging="295"/>
              <w:rPr>
                <w:rFonts w:asciiTheme="minorHAnsi" w:hAnsiTheme="minorHAnsi" w:cs="Calibri"/>
              </w:rPr>
            </w:pPr>
            <w:r>
              <w:rPr>
                <w:rFonts w:asciiTheme="minorHAnsi" w:hAnsiTheme="minorHAnsi" w:cs="Calibri"/>
              </w:rPr>
              <w:t>d</w:t>
            </w:r>
            <w:r w:rsidRPr="0056338E">
              <w:rPr>
                <w:rFonts w:asciiTheme="minorHAnsi" w:hAnsiTheme="minorHAnsi" w:cs="Calibri"/>
              </w:rPr>
              <w:t>eposit lists and logs</w:t>
            </w:r>
          </w:p>
          <w:p w14:paraId="5C8D4496" w14:textId="77777777" w:rsidR="00C12B45" w:rsidRPr="0056338E" w:rsidRDefault="00C12B45" w:rsidP="00EE4566">
            <w:pPr>
              <w:numPr>
                <w:ilvl w:val="1"/>
                <w:numId w:val="6"/>
              </w:numPr>
              <w:tabs>
                <w:tab w:val="left" w:pos="-1080"/>
                <w:tab w:val="left" w:pos="-720"/>
                <w:tab w:val="left" w:pos="0"/>
                <w:tab w:val="left" w:pos="360"/>
                <w:tab w:val="left" w:pos="720"/>
                <w:tab w:val="left" w:pos="1080"/>
                <w:tab w:val="left" w:pos="1440"/>
                <w:tab w:val="left" w:pos="3600"/>
              </w:tabs>
              <w:spacing w:after="0" w:line="240" w:lineRule="auto"/>
              <w:ind w:left="904" w:hanging="295"/>
              <w:rPr>
                <w:rFonts w:asciiTheme="minorHAnsi" w:hAnsiTheme="minorHAnsi" w:cs="Calibri"/>
              </w:rPr>
            </w:pPr>
            <w:r>
              <w:rPr>
                <w:rFonts w:asciiTheme="minorHAnsi" w:hAnsiTheme="minorHAnsi" w:cs="Calibri"/>
              </w:rPr>
              <w:t>c</w:t>
            </w:r>
            <w:r w:rsidRPr="0056338E">
              <w:rPr>
                <w:rFonts w:asciiTheme="minorHAnsi" w:hAnsiTheme="minorHAnsi" w:cs="Calibri"/>
              </w:rPr>
              <w:t>ustomer orders</w:t>
            </w:r>
          </w:p>
          <w:p w14:paraId="328D13B9" w14:textId="77777777" w:rsidR="00C12B45" w:rsidRPr="0056338E" w:rsidRDefault="00C12B45" w:rsidP="00EE4566">
            <w:pPr>
              <w:numPr>
                <w:ilvl w:val="1"/>
                <w:numId w:val="6"/>
              </w:numPr>
              <w:tabs>
                <w:tab w:val="left" w:pos="-1080"/>
                <w:tab w:val="left" w:pos="-720"/>
                <w:tab w:val="left" w:pos="0"/>
                <w:tab w:val="left" w:pos="360"/>
                <w:tab w:val="left" w:pos="720"/>
                <w:tab w:val="left" w:pos="1080"/>
                <w:tab w:val="left" w:pos="1440"/>
                <w:tab w:val="left" w:pos="3600"/>
              </w:tabs>
              <w:spacing w:after="0" w:line="240" w:lineRule="auto"/>
              <w:ind w:left="904" w:hanging="295"/>
              <w:rPr>
                <w:rFonts w:asciiTheme="minorHAnsi" w:hAnsiTheme="minorHAnsi" w:cs="Calibri"/>
              </w:rPr>
            </w:pPr>
            <w:r>
              <w:rPr>
                <w:rFonts w:asciiTheme="minorHAnsi" w:hAnsiTheme="minorHAnsi" w:cs="Calibri"/>
              </w:rPr>
              <w:t>r</w:t>
            </w:r>
            <w:r w:rsidRPr="0056338E">
              <w:rPr>
                <w:rFonts w:asciiTheme="minorHAnsi" w:hAnsiTheme="minorHAnsi" w:cs="Calibri"/>
              </w:rPr>
              <w:t>evolving fund records</w:t>
            </w:r>
          </w:p>
          <w:p w14:paraId="693A62E4"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rPr>
            </w:pPr>
            <w:r>
              <w:rPr>
                <w:rFonts w:asciiTheme="minorHAnsi" w:hAnsiTheme="minorHAnsi" w:cs="Calibri"/>
              </w:rPr>
              <w:t>f</w:t>
            </w:r>
            <w:r w:rsidRPr="0056338E">
              <w:rPr>
                <w:rFonts w:asciiTheme="minorHAnsi" w:hAnsiTheme="minorHAnsi" w:cs="Calibri"/>
              </w:rPr>
              <w:t>ee and fine collection records</w:t>
            </w:r>
          </w:p>
          <w:p w14:paraId="7FF0B7FD"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rPr>
            </w:pPr>
            <w:r>
              <w:rPr>
                <w:rFonts w:asciiTheme="minorHAnsi" w:hAnsiTheme="minorHAnsi" w:cs="Calibri"/>
              </w:rPr>
              <w:t>g</w:t>
            </w:r>
            <w:r w:rsidRPr="0056338E">
              <w:rPr>
                <w:rFonts w:asciiTheme="minorHAnsi" w:hAnsiTheme="minorHAnsi" w:cs="Calibri"/>
              </w:rPr>
              <w:t>arnishments</w:t>
            </w:r>
          </w:p>
          <w:p w14:paraId="50CF6C15"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rPr>
            </w:pPr>
            <w:r>
              <w:rPr>
                <w:rFonts w:asciiTheme="minorHAnsi" w:hAnsiTheme="minorHAnsi" w:cs="Calibri"/>
              </w:rPr>
              <w:t>s</w:t>
            </w:r>
            <w:r w:rsidRPr="0056338E">
              <w:rPr>
                <w:rFonts w:asciiTheme="minorHAnsi" w:hAnsiTheme="minorHAnsi" w:cs="Calibri"/>
              </w:rPr>
              <w:t>ale of excess and surplus personal property</w:t>
            </w:r>
          </w:p>
          <w:p w14:paraId="40722F2E"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f</w:t>
            </w:r>
            <w:r w:rsidRPr="0056338E">
              <w:rPr>
                <w:rFonts w:asciiTheme="minorHAnsi" w:hAnsiTheme="minorHAnsi" w:cs="Calibri"/>
                <w:color w:val="000000"/>
              </w:rPr>
              <w:t>ee or rate schedules and supporting documentation</w:t>
            </w:r>
          </w:p>
          <w:p w14:paraId="7788D179"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o</w:t>
            </w:r>
            <w:r w:rsidRPr="0056338E">
              <w:rPr>
                <w:rFonts w:asciiTheme="minorHAnsi" w:hAnsiTheme="minorHAnsi" w:cs="Calibri"/>
                <w:color w:val="000000"/>
              </w:rPr>
              <w:t>ut-leases of Federal property</w:t>
            </w:r>
          </w:p>
          <w:p w14:paraId="56D90006"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d</w:t>
            </w:r>
            <w:r w:rsidRPr="0056338E">
              <w:rPr>
                <w:rFonts w:asciiTheme="minorHAnsi" w:hAnsiTheme="minorHAnsi" w:cs="Calibri"/>
                <w:color w:val="000000"/>
              </w:rPr>
              <w:t>ebt collection files and cash receipts</w:t>
            </w:r>
          </w:p>
          <w:p w14:paraId="5DE2C3C3"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proofErr w:type="spellStart"/>
            <w:r>
              <w:rPr>
                <w:rFonts w:asciiTheme="minorHAnsi" w:hAnsiTheme="minorHAnsi" w:cs="Calibri"/>
                <w:color w:val="000000"/>
              </w:rPr>
              <w:t>w</w:t>
            </w:r>
            <w:r w:rsidRPr="0056338E">
              <w:rPr>
                <w:rFonts w:asciiTheme="minorHAnsi" w:hAnsiTheme="minorHAnsi" w:cs="Calibri"/>
                <w:color w:val="000000"/>
              </w:rPr>
              <w:t>riteoffs</w:t>
            </w:r>
            <w:proofErr w:type="spellEnd"/>
          </w:p>
          <w:p w14:paraId="5F7D0B05"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c</w:t>
            </w:r>
            <w:r w:rsidRPr="0056338E">
              <w:rPr>
                <w:rFonts w:asciiTheme="minorHAnsi" w:hAnsiTheme="minorHAnsi" w:cs="Calibri"/>
                <w:color w:val="000000"/>
              </w:rPr>
              <w:t>opies of checks</w:t>
            </w:r>
          </w:p>
          <w:p w14:paraId="5B1CB055"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p</w:t>
            </w:r>
            <w:r w:rsidRPr="0056338E">
              <w:rPr>
                <w:rFonts w:asciiTheme="minorHAnsi" w:hAnsiTheme="minorHAnsi" w:cs="Calibri"/>
                <w:color w:val="000000"/>
              </w:rPr>
              <w:t>ayment billing coupons</w:t>
            </w:r>
          </w:p>
          <w:p w14:paraId="76A58DD5"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l</w:t>
            </w:r>
            <w:r w:rsidRPr="0056338E">
              <w:rPr>
                <w:rFonts w:asciiTheme="minorHAnsi" w:hAnsiTheme="minorHAnsi" w:cs="Calibri"/>
                <w:color w:val="000000"/>
              </w:rPr>
              <w:t>etters from lenders</w:t>
            </w:r>
          </w:p>
          <w:p w14:paraId="483F263B"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p</w:t>
            </w:r>
            <w:r w:rsidRPr="0056338E">
              <w:rPr>
                <w:rFonts w:asciiTheme="minorHAnsi" w:hAnsiTheme="minorHAnsi" w:cs="Calibri"/>
                <w:color w:val="000000"/>
              </w:rPr>
              <w:t>ayment records</w:t>
            </w:r>
          </w:p>
          <w:p w14:paraId="39AA7708"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m</w:t>
            </w:r>
            <w:r w:rsidRPr="0056338E">
              <w:rPr>
                <w:rFonts w:asciiTheme="minorHAnsi" w:hAnsiTheme="minorHAnsi" w:cs="Calibri"/>
                <w:color w:val="000000"/>
              </w:rPr>
              <w:t>oney orders</w:t>
            </w:r>
          </w:p>
          <w:p w14:paraId="5BA54053"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j</w:t>
            </w:r>
            <w:r w:rsidRPr="0056338E">
              <w:rPr>
                <w:rFonts w:asciiTheme="minorHAnsi" w:hAnsiTheme="minorHAnsi" w:cs="Calibri"/>
                <w:color w:val="000000"/>
              </w:rPr>
              <w:t>ournal vouchers</w:t>
            </w:r>
          </w:p>
          <w:p w14:paraId="6DA1A8DC" w14:textId="77777777" w:rsidR="00C12B45" w:rsidRPr="0056338E" w:rsidRDefault="00C12B45" w:rsidP="00C12B45">
            <w:pPr>
              <w:numPr>
                <w:ilvl w:val="0"/>
                <w:numId w:val="6"/>
              </w:numPr>
              <w:tabs>
                <w:tab w:val="left" w:pos="-1080"/>
                <w:tab w:val="left" w:pos="-720"/>
                <w:tab w:val="left" w:pos="0"/>
                <w:tab w:val="left" w:pos="360"/>
                <w:tab w:val="left" w:pos="605"/>
                <w:tab w:val="left" w:pos="1080"/>
                <w:tab w:val="left" w:pos="1440"/>
                <w:tab w:val="left" w:pos="3600"/>
              </w:tabs>
              <w:spacing w:after="0" w:line="240" w:lineRule="auto"/>
              <w:ind w:left="720"/>
              <w:rPr>
                <w:rFonts w:asciiTheme="minorHAnsi" w:hAnsiTheme="minorHAnsi" w:cs="Calibri"/>
                <w:color w:val="000000"/>
              </w:rPr>
            </w:pPr>
            <w:r>
              <w:rPr>
                <w:rFonts w:asciiTheme="minorHAnsi" w:hAnsiTheme="minorHAnsi" w:cs="Calibri"/>
                <w:color w:val="000000"/>
              </w:rPr>
              <w:t>c</w:t>
            </w:r>
            <w:r w:rsidRPr="0056338E">
              <w:rPr>
                <w:rFonts w:asciiTheme="minorHAnsi" w:hAnsiTheme="minorHAnsi" w:cs="Calibri"/>
                <w:color w:val="000000"/>
              </w:rPr>
              <w:t>ollection schedules</w:t>
            </w:r>
          </w:p>
          <w:p w14:paraId="6DD7F1A9" w14:textId="77777777" w:rsidR="00C12B45" w:rsidRPr="0056338E" w:rsidRDefault="00C12B45" w:rsidP="00C12B45">
            <w:pPr>
              <w:tabs>
                <w:tab w:val="left" w:pos="-1080"/>
                <w:tab w:val="left" w:pos="-720"/>
                <w:tab w:val="left" w:pos="0"/>
                <w:tab w:val="left" w:pos="360"/>
                <w:tab w:val="left" w:pos="720"/>
                <w:tab w:val="left" w:pos="1080"/>
                <w:tab w:val="left" w:pos="1440"/>
                <w:tab w:val="left" w:pos="3600"/>
              </w:tabs>
              <w:spacing w:after="0" w:line="240" w:lineRule="auto"/>
              <w:ind w:left="360"/>
              <w:rPr>
                <w:rFonts w:asciiTheme="minorHAnsi" w:hAnsiTheme="minorHAnsi" w:cs="Calibri"/>
              </w:rPr>
            </w:pPr>
          </w:p>
          <w:p w14:paraId="105ED669" w14:textId="77777777" w:rsidR="00C12B45" w:rsidRPr="0056338E" w:rsidRDefault="00C12B45" w:rsidP="00C12B45">
            <w:pPr>
              <w:pStyle w:val="ListParagraph"/>
              <w:spacing w:after="0" w:line="240" w:lineRule="auto"/>
              <w:ind w:left="360"/>
              <w:rPr>
                <w:rFonts w:asciiTheme="minorHAnsi" w:hAnsiTheme="minorHAnsi" w:cs="Calibri"/>
              </w:rPr>
            </w:pPr>
            <w:r w:rsidRPr="0056338E">
              <w:rPr>
                <w:rFonts w:asciiTheme="minorHAnsi" w:hAnsiTheme="minorHAnsi" w:cs="Calibri"/>
                <w:b/>
                <w:bCs/>
              </w:rPr>
              <w:t xml:space="preserve">Accounting </w:t>
            </w:r>
            <w:r w:rsidRPr="0056338E">
              <w:rPr>
                <w:rFonts w:asciiTheme="minorHAnsi" w:hAnsiTheme="minorHAnsi" w:cs="Calibri"/>
                <w:bCs/>
              </w:rPr>
              <w:t xml:space="preserve">is the recording, </w:t>
            </w:r>
            <w:proofErr w:type="gramStart"/>
            <w:r w:rsidRPr="0056338E">
              <w:rPr>
                <w:rFonts w:asciiTheme="minorHAnsi" w:hAnsiTheme="minorHAnsi" w:cs="Calibri"/>
                <w:bCs/>
              </w:rPr>
              <w:t>classifying</w:t>
            </w:r>
            <w:proofErr w:type="gramEnd"/>
            <w:r w:rsidRPr="0056338E">
              <w:rPr>
                <w:rFonts w:asciiTheme="minorHAnsi" w:hAnsiTheme="minorHAnsi" w:cs="Calibri"/>
                <w:bCs/>
              </w:rPr>
              <w:t xml:space="preserve"> and summarizing of financial transactions and events related to assets, liabilities, revenue from all sources, and expenses to all payees to support financial reporting, enable audit, </w:t>
            </w:r>
            <w:r w:rsidRPr="0056338E">
              <w:rPr>
                <w:rFonts w:asciiTheme="minorHAnsi" w:hAnsiTheme="minorHAnsi" w:cs="Calibri"/>
              </w:rPr>
              <w:t xml:space="preserve">and </w:t>
            </w:r>
            <w:r w:rsidRPr="0056338E">
              <w:rPr>
                <w:rFonts w:asciiTheme="minorHAnsi" w:hAnsiTheme="minorHAnsi" w:cs="Calibri"/>
                <w:bCs/>
              </w:rPr>
              <w:t>ac</w:t>
            </w:r>
            <w:r w:rsidRPr="0056338E">
              <w:rPr>
                <w:rFonts w:asciiTheme="minorHAnsi" w:hAnsiTheme="minorHAnsi" w:cs="Calibri"/>
              </w:rPr>
              <w:t>cumulate and generate management information to assist in establishing an agency’s resource allocation priorities.  Accounting records include those such as:</w:t>
            </w:r>
          </w:p>
          <w:p w14:paraId="215430EB" w14:textId="77777777" w:rsidR="00C12B45" w:rsidRPr="0056338E" w:rsidRDefault="00C12B45" w:rsidP="00EE4566">
            <w:pPr>
              <w:numPr>
                <w:ilvl w:val="0"/>
                <w:numId w:val="7"/>
              </w:numPr>
              <w:tabs>
                <w:tab w:val="left" w:pos="605"/>
              </w:tabs>
              <w:spacing w:after="0" w:line="240" w:lineRule="auto"/>
              <w:ind w:left="598" w:hanging="238"/>
              <w:rPr>
                <w:rFonts w:asciiTheme="minorHAnsi" w:hAnsiTheme="minorHAnsi" w:cs="Calibri"/>
              </w:rPr>
            </w:pPr>
            <w:r>
              <w:rPr>
                <w:rFonts w:asciiTheme="minorHAnsi" w:hAnsiTheme="minorHAnsi" w:cs="Calibri"/>
              </w:rPr>
              <w:lastRenderedPageBreak/>
              <w:t>a</w:t>
            </w:r>
            <w:r w:rsidRPr="0056338E">
              <w:rPr>
                <w:rFonts w:asciiTheme="minorHAnsi" w:hAnsiTheme="minorHAnsi" w:cs="Calibri"/>
              </w:rPr>
              <w:t xml:space="preserve">ccountable officers’ records concerned with the accounting for, availability, and status of public funds and maintained for Government Accountability Office (GAO) or other authority site audit, but excluding payroll records, and accounts pertaining to American Indians.  Includes: </w:t>
            </w:r>
          </w:p>
          <w:p w14:paraId="35E578BF" w14:textId="77777777" w:rsidR="00C12B45" w:rsidRPr="0056338E" w:rsidRDefault="00C12B45" w:rsidP="00EE4566">
            <w:pPr>
              <w:numPr>
                <w:ilvl w:val="1"/>
                <w:numId w:val="7"/>
              </w:numPr>
              <w:spacing w:after="0" w:line="240" w:lineRule="auto"/>
              <w:ind w:left="841" w:hanging="245"/>
              <w:rPr>
                <w:rFonts w:asciiTheme="minorHAnsi" w:hAnsiTheme="minorHAnsi" w:cs="Calibri"/>
              </w:rPr>
            </w:pPr>
            <w:r w:rsidRPr="0056338E">
              <w:rPr>
                <w:rFonts w:asciiTheme="minorHAnsi" w:hAnsiTheme="minorHAnsi" w:cs="Calibri"/>
              </w:rPr>
              <w:t>statements of transactions</w:t>
            </w:r>
          </w:p>
          <w:p w14:paraId="3F55F4E7" w14:textId="77777777" w:rsidR="00C12B45" w:rsidRPr="0056338E" w:rsidRDefault="00C12B45" w:rsidP="00EE4566">
            <w:pPr>
              <w:numPr>
                <w:ilvl w:val="1"/>
                <w:numId w:val="7"/>
              </w:numPr>
              <w:spacing w:after="0" w:line="240" w:lineRule="auto"/>
              <w:ind w:left="841" w:hanging="245"/>
              <w:rPr>
                <w:rFonts w:asciiTheme="minorHAnsi" w:hAnsiTheme="minorHAnsi" w:cs="Calibri"/>
              </w:rPr>
            </w:pPr>
            <w:r w:rsidRPr="0056338E">
              <w:rPr>
                <w:rFonts w:asciiTheme="minorHAnsi" w:hAnsiTheme="minorHAnsi" w:cs="Calibri"/>
              </w:rPr>
              <w:t>statements of accountability</w:t>
            </w:r>
          </w:p>
          <w:p w14:paraId="5FA120A0" w14:textId="77777777" w:rsidR="00C12B45" w:rsidRPr="0056338E" w:rsidRDefault="00C12B45" w:rsidP="00EE4566">
            <w:pPr>
              <w:numPr>
                <w:ilvl w:val="1"/>
                <w:numId w:val="7"/>
              </w:numPr>
              <w:spacing w:after="0" w:line="240" w:lineRule="auto"/>
              <w:ind w:left="841" w:hanging="245"/>
              <w:rPr>
                <w:rFonts w:asciiTheme="minorHAnsi" w:hAnsiTheme="minorHAnsi" w:cs="Calibri"/>
              </w:rPr>
            </w:pPr>
            <w:r w:rsidRPr="0056338E">
              <w:rPr>
                <w:rFonts w:asciiTheme="minorHAnsi" w:hAnsiTheme="minorHAnsi" w:cs="Calibri"/>
              </w:rPr>
              <w:t>collection schedules and vouchers</w:t>
            </w:r>
          </w:p>
          <w:p w14:paraId="436D8ABE" w14:textId="77777777" w:rsidR="00C12B45" w:rsidRPr="0056338E" w:rsidRDefault="00C12B45" w:rsidP="00EE4566">
            <w:pPr>
              <w:numPr>
                <w:ilvl w:val="1"/>
                <w:numId w:val="7"/>
              </w:numPr>
              <w:spacing w:after="0" w:line="240" w:lineRule="auto"/>
              <w:ind w:left="841" w:hanging="245"/>
              <w:rPr>
                <w:rFonts w:asciiTheme="minorHAnsi" w:hAnsiTheme="minorHAnsi" w:cs="Calibri"/>
              </w:rPr>
            </w:pPr>
            <w:r w:rsidRPr="0056338E">
              <w:rPr>
                <w:rFonts w:asciiTheme="minorHAnsi" w:hAnsiTheme="minorHAnsi" w:cs="Calibri"/>
              </w:rPr>
              <w:t>disbursement schedules and vouchers</w:t>
            </w:r>
          </w:p>
          <w:p w14:paraId="5C707516" w14:textId="77777777" w:rsidR="00C12B45" w:rsidRPr="0056338E" w:rsidRDefault="00C12B45" w:rsidP="00C12B45">
            <w:pPr>
              <w:numPr>
                <w:ilvl w:val="0"/>
                <w:numId w:val="7"/>
              </w:numPr>
              <w:spacing w:after="0" w:line="240" w:lineRule="auto"/>
              <w:ind w:left="605" w:hanging="245"/>
              <w:rPr>
                <w:rFonts w:asciiTheme="minorHAnsi" w:hAnsiTheme="minorHAnsi" w:cs="Calibri"/>
                <w:color w:val="000000"/>
              </w:rPr>
            </w:pPr>
            <w:r>
              <w:rPr>
                <w:rFonts w:asciiTheme="minorHAnsi" w:hAnsiTheme="minorHAnsi" w:cs="Calibri"/>
              </w:rPr>
              <w:t>v</w:t>
            </w:r>
            <w:r w:rsidRPr="0056338E">
              <w:rPr>
                <w:rFonts w:asciiTheme="minorHAnsi" w:hAnsiTheme="minorHAnsi" w:cs="Calibri"/>
              </w:rPr>
              <w:t>ouchers</w:t>
            </w:r>
          </w:p>
          <w:p w14:paraId="6148B391" w14:textId="77777777" w:rsidR="00C12B45" w:rsidRPr="0056338E" w:rsidRDefault="00C12B45" w:rsidP="00C12B45">
            <w:pPr>
              <w:numPr>
                <w:ilvl w:val="0"/>
                <w:numId w:val="7"/>
              </w:numPr>
              <w:spacing w:after="0" w:line="240" w:lineRule="auto"/>
              <w:ind w:left="605" w:hanging="245"/>
              <w:rPr>
                <w:rFonts w:asciiTheme="minorHAnsi" w:hAnsiTheme="minorHAnsi" w:cs="Calibri"/>
              </w:rPr>
            </w:pPr>
            <w:r>
              <w:rPr>
                <w:rFonts w:asciiTheme="minorHAnsi" w:hAnsiTheme="minorHAnsi" w:cs="Calibri"/>
              </w:rPr>
              <w:t>c</w:t>
            </w:r>
            <w:r w:rsidRPr="0056338E">
              <w:rPr>
                <w:rFonts w:asciiTheme="minorHAnsi" w:hAnsiTheme="minorHAnsi" w:cs="Calibri"/>
              </w:rPr>
              <w:t>ertificates of closed accounts</w:t>
            </w:r>
          </w:p>
          <w:p w14:paraId="3D1DB511" w14:textId="77777777" w:rsidR="00C12B45" w:rsidRPr="0056338E" w:rsidRDefault="00C12B45" w:rsidP="00C12B45">
            <w:pPr>
              <w:numPr>
                <w:ilvl w:val="0"/>
                <w:numId w:val="7"/>
              </w:numPr>
              <w:spacing w:after="0" w:line="240" w:lineRule="auto"/>
              <w:ind w:left="605" w:hanging="245"/>
              <w:rPr>
                <w:rFonts w:asciiTheme="minorHAnsi" w:hAnsiTheme="minorHAnsi" w:cs="Calibri"/>
                <w:color w:val="000000"/>
              </w:rPr>
            </w:pPr>
            <w:r>
              <w:rPr>
                <w:rFonts w:asciiTheme="minorHAnsi" w:hAnsiTheme="minorHAnsi" w:cs="Calibri"/>
              </w:rPr>
              <w:t>c</w:t>
            </w:r>
            <w:r w:rsidRPr="0056338E">
              <w:rPr>
                <w:rFonts w:asciiTheme="minorHAnsi" w:hAnsiTheme="minorHAnsi" w:cs="Calibri"/>
              </w:rPr>
              <w:t>ertificates of periodic settlements</w:t>
            </w:r>
          </w:p>
          <w:p w14:paraId="37B81C87" w14:textId="77777777" w:rsidR="00C12B45" w:rsidRPr="0056338E" w:rsidRDefault="00C12B45" w:rsidP="00C12B45">
            <w:pPr>
              <w:numPr>
                <w:ilvl w:val="0"/>
                <w:numId w:val="7"/>
              </w:numPr>
              <w:spacing w:after="0" w:line="240" w:lineRule="auto"/>
              <w:ind w:left="605" w:hanging="245"/>
              <w:rPr>
                <w:rFonts w:asciiTheme="minorHAnsi" w:hAnsiTheme="minorHAnsi" w:cs="Calibri"/>
                <w:color w:val="000000"/>
              </w:rPr>
            </w:pPr>
            <w:r>
              <w:rPr>
                <w:rFonts w:asciiTheme="minorHAnsi" w:hAnsiTheme="minorHAnsi" w:cs="Calibri"/>
                <w:color w:val="000000"/>
              </w:rPr>
              <w:t>g</w:t>
            </w:r>
            <w:r w:rsidRPr="0056338E">
              <w:rPr>
                <w:rFonts w:asciiTheme="minorHAnsi" w:hAnsiTheme="minorHAnsi" w:cs="Calibri"/>
                <w:color w:val="000000"/>
              </w:rPr>
              <w:t>eneral funds files</w:t>
            </w:r>
          </w:p>
          <w:p w14:paraId="2D2B283B" w14:textId="77777777" w:rsidR="00C12B45" w:rsidRPr="0056338E" w:rsidRDefault="00C12B45" w:rsidP="00C12B45">
            <w:pPr>
              <w:numPr>
                <w:ilvl w:val="0"/>
                <w:numId w:val="7"/>
              </w:numPr>
              <w:spacing w:after="0" w:line="240" w:lineRule="auto"/>
              <w:ind w:left="605" w:hanging="245"/>
              <w:rPr>
                <w:rFonts w:asciiTheme="minorHAnsi" w:hAnsiTheme="minorHAnsi" w:cs="Calibri"/>
                <w:color w:val="000000"/>
              </w:rPr>
            </w:pPr>
            <w:r>
              <w:rPr>
                <w:rFonts w:asciiTheme="minorHAnsi" w:hAnsiTheme="minorHAnsi" w:cs="Calibri"/>
                <w:color w:val="000000"/>
              </w:rPr>
              <w:t>g</w:t>
            </w:r>
            <w:r w:rsidRPr="0056338E">
              <w:rPr>
                <w:rFonts w:asciiTheme="minorHAnsi" w:hAnsiTheme="minorHAnsi" w:cs="Calibri"/>
                <w:color w:val="000000"/>
              </w:rPr>
              <w:t>eneral accounting ledgers</w:t>
            </w:r>
          </w:p>
          <w:p w14:paraId="6BB33A52" w14:textId="77777777" w:rsidR="00C12B45" w:rsidRPr="0056338E" w:rsidRDefault="00C12B45" w:rsidP="00C12B45">
            <w:pPr>
              <w:numPr>
                <w:ilvl w:val="0"/>
                <w:numId w:val="7"/>
              </w:numPr>
              <w:spacing w:after="0" w:line="240" w:lineRule="auto"/>
              <w:ind w:left="605" w:hanging="245"/>
              <w:rPr>
                <w:rFonts w:asciiTheme="minorHAnsi" w:hAnsiTheme="minorHAnsi" w:cs="Calibri"/>
                <w:color w:val="000000"/>
              </w:rPr>
            </w:pPr>
            <w:r>
              <w:rPr>
                <w:rFonts w:asciiTheme="minorHAnsi" w:hAnsiTheme="minorHAnsi" w:cs="Calibri"/>
                <w:color w:val="000000"/>
              </w:rPr>
              <w:t>a</w:t>
            </w:r>
            <w:r w:rsidRPr="0056338E">
              <w:rPr>
                <w:rFonts w:asciiTheme="minorHAnsi" w:hAnsiTheme="minorHAnsi" w:cs="Calibri"/>
                <w:color w:val="000000"/>
              </w:rPr>
              <w:t>ppropriation, apportionment, and allotment files</w:t>
            </w:r>
          </w:p>
          <w:p w14:paraId="55D1424A" w14:textId="77777777" w:rsidR="00C12B45" w:rsidRPr="0056338E" w:rsidRDefault="00C12B45" w:rsidP="00C12B45">
            <w:pPr>
              <w:numPr>
                <w:ilvl w:val="0"/>
                <w:numId w:val="7"/>
              </w:numPr>
              <w:spacing w:after="0" w:line="240" w:lineRule="auto"/>
              <w:ind w:left="605" w:hanging="245"/>
              <w:rPr>
                <w:rFonts w:asciiTheme="minorHAnsi" w:hAnsiTheme="minorHAnsi" w:cs="Calibri"/>
              </w:rPr>
            </w:pPr>
            <w:r>
              <w:rPr>
                <w:rFonts w:asciiTheme="minorHAnsi" w:hAnsiTheme="minorHAnsi" w:cs="Calibri"/>
              </w:rPr>
              <w:t>p</w:t>
            </w:r>
            <w:r w:rsidRPr="0056338E">
              <w:rPr>
                <w:rFonts w:asciiTheme="minorHAnsi" w:hAnsiTheme="minorHAnsi" w:cs="Calibri"/>
              </w:rPr>
              <w:t>osting and control files</w:t>
            </w:r>
          </w:p>
          <w:p w14:paraId="57E8FD4E" w14:textId="77777777" w:rsidR="00C12B45" w:rsidRPr="0056338E" w:rsidRDefault="00C12B45" w:rsidP="00C12B45">
            <w:pPr>
              <w:numPr>
                <w:ilvl w:val="0"/>
                <w:numId w:val="7"/>
              </w:numPr>
              <w:spacing w:after="0" w:line="240" w:lineRule="auto"/>
              <w:ind w:left="605" w:hanging="245"/>
              <w:rPr>
                <w:rFonts w:asciiTheme="minorHAnsi" w:hAnsiTheme="minorHAnsi" w:cs="Calibri"/>
                <w:color w:val="000000"/>
              </w:rPr>
            </w:pPr>
            <w:r>
              <w:rPr>
                <w:rFonts w:asciiTheme="minorHAnsi" w:hAnsiTheme="minorHAnsi" w:cs="Calibri"/>
                <w:color w:val="000000"/>
              </w:rPr>
              <w:t>b</w:t>
            </w:r>
            <w:r w:rsidRPr="0056338E">
              <w:rPr>
                <w:rFonts w:asciiTheme="minorHAnsi" w:hAnsiTheme="minorHAnsi" w:cs="Calibri"/>
                <w:color w:val="000000"/>
              </w:rPr>
              <w:t xml:space="preserve">ills of lading </w:t>
            </w:r>
          </w:p>
          <w:p w14:paraId="204A6CCF" w14:textId="77777777" w:rsidR="00C12B45" w:rsidRPr="0056338E" w:rsidRDefault="00C12B45" w:rsidP="00C12B45">
            <w:pPr>
              <w:numPr>
                <w:ilvl w:val="0"/>
                <w:numId w:val="7"/>
              </w:numPr>
              <w:spacing w:after="0" w:line="240" w:lineRule="auto"/>
              <w:ind w:left="605" w:hanging="245"/>
              <w:rPr>
                <w:rFonts w:asciiTheme="minorHAnsi" w:hAnsiTheme="minorHAnsi" w:cs="Calibri"/>
                <w:color w:val="000000"/>
              </w:rPr>
            </w:pPr>
            <w:r>
              <w:rPr>
                <w:rFonts w:asciiTheme="minorHAnsi" w:hAnsiTheme="minorHAnsi" w:cs="Calibri"/>
                <w:color w:val="000000"/>
              </w:rPr>
              <w:t>t</w:t>
            </w:r>
            <w:r w:rsidRPr="0056338E">
              <w:rPr>
                <w:rFonts w:asciiTheme="minorHAnsi" w:hAnsiTheme="minorHAnsi" w:cs="Calibri"/>
                <w:color w:val="000000"/>
              </w:rPr>
              <w:t>ransportation and travel requests, authorizations, and vouchers</w:t>
            </w:r>
          </w:p>
          <w:p w14:paraId="623D0203" w14:textId="77777777" w:rsidR="00C12B45" w:rsidRPr="0056338E" w:rsidRDefault="00C12B45" w:rsidP="00C12B45">
            <w:pPr>
              <w:numPr>
                <w:ilvl w:val="0"/>
                <w:numId w:val="7"/>
              </w:numPr>
              <w:spacing w:after="0" w:line="240" w:lineRule="auto"/>
              <w:ind w:left="605" w:hanging="245"/>
              <w:rPr>
                <w:rFonts w:asciiTheme="minorHAnsi" w:hAnsiTheme="minorHAnsi" w:cs="Calibri"/>
              </w:rPr>
            </w:pPr>
            <w:r>
              <w:rPr>
                <w:rFonts w:asciiTheme="minorHAnsi" w:hAnsiTheme="minorHAnsi" w:cs="Calibri"/>
              </w:rPr>
              <w:t>c</w:t>
            </w:r>
            <w:r w:rsidRPr="0056338E">
              <w:rPr>
                <w:rFonts w:asciiTheme="minorHAnsi" w:hAnsiTheme="minorHAnsi" w:cs="Calibri"/>
              </w:rPr>
              <w:t>ommercial freight vouchers</w:t>
            </w:r>
          </w:p>
          <w:p w14:paraId="59830B80" w14:textId="77777777" w:rsidR="00C12B45" w:rsidRPr="0056338E" w:rsidRDefault="00C12B45" w:rsidP="00C12B45">
            <w:pPr>
              <w:numPr>
                <w:ilvl w:val="0"/>
                <w:numId w:val="7"/>
              </w:numPr>
              <w:spacing w:after="160" w:line="240" w:lineRule="auto"/>
              <w:ind w:left="605" w:hanging="245"/>
              <w:rPr>
                <w:rFonts w:asciiTheme="minorHAnsi" w:hAnsiTheme="minorHAnsi" w:cs="Calibri"/>
                <w:color w:val="000000"/>
              </w:rPr>
            </w:pPr>
            <w:r>
              <w:rPr>
                <w:rFonts w:asciiTheme="minorHAnsi" w:hAnsiTheme="minorHAnsi" w:cs="Calibri"/>
                <w:color w:val="000000"/>
              </w:rPr>
              <w:t>u</w:t>
            </w:r>
            <w:r w:rsidRPr="0056338E">
              <w:rPr>
                <w:rFonts w:asciiTheme="minorHAnsi" w:hAnsiTheme="minorHAnsi" w:cs="Calibri"/>
                <w:color w:val="000000"/>
              </w:rPr>
              <w:t>nused ticket redemption forms</w:t>
            </w:r>
          </w:p>
          <w:p w14:paraId="135D023F" w14:textId="77777777" w:rsidR="00C12B45" w:rsidRDefault="00C12B45" w:rsidP="00C12B45">
            <w:pPr>
              <w:tabs>
                <w:tab w:val="left" w:pos="-1080"/>
                <w:tab w:val="left" w:pos="-720"/>
                <w:tab w:val="left" w:pos="0"/>
                <w:tab w:val="left" w:pos="360"/>
                <w:tab w:val="left" w:pos="720"/>
                <w:tab w:val="left" w:pos="1080"/>
                <w:tab w:val="left" w:pos="1440"/>
                <w:tab w:val="left" w:pos="3600"/>
              </w:tabs>
              <w:spacing w:after="160" w:line="240" w:lineRule="auto"/>
              <w:ind w:left="360"/>
              <w:rPr>
                <w:rFonts w:asciiTheme="minorHAnsi" w:hAnsiTheme="minorHAnsi" w:cs="Calibri"/>
                <w:b/>
              </w:rPr>
            </w:pPr>
            <w:r>
              <w:rPr>
                <w:rFonts w:asciiTheme="minorHAnsi" w:hAnsiTheme="minorHAnsi" w:cs="Calibri"/>
                <w:b/>
              </w:rPr>
              <w:t xml:space="preserve">Legal citation:  </w:t>
            </w:r>
            <w:r w:rsidRPr="003A02CC">
              <w:rPr>
                <w:color w:val="222222"/>
                <w:shd w:val="clear" w:color="auto" w:fill="FFFFFF"/>
              </w:rPr>
              <w:t>28 U.S. Code 2401(a)</w:t>
            </w:r>
          </w:p>
          <w:p w14:paraId="722BEF12" w14:textId="77777777" w:rsidR="00C12B45" w:rsidRPr="0056338E" w:rsidRDefault="00C12B45" w:rsidP="00C12B45">
            <w:pPr>
              <w:tabs>
                <w:tab w:val="left" w:pos="-1080"/>
                <w:tab w:val="left" w:pos="-720"/>
                <w:tab w:val="left" w:pos="0"/>
                <w:tab w:val="left" w:pos="360"/>
                <w:tab w:val="left" w:pos="720"/>
                <w:tab w:val="left" w:pos="1080"/>
                <w:tab w:val="left" w:pos="1440"/>
                <w:tab w:val="left" w:pos="3600"/>
              </w:tabs>
              <w:spacing w:after="160" w:line="240" w:lineRule="auto"/>
              <w:ind w:left="360"/>
              <w:rPr>
                <w:rFonts w:asciiTheme="minorHAnsi" w:hAnsiTheme="minorHAnsi" w:cs="Calibri"/>
              </w:rPr>
            </w:pPr>
            <w:r w:rsidRPr="0056338E">
              <w:rPr>
                <w:rFonts w:asciiTheme="minorHAnsi" w:hAnsiTheme="minorHAnsi" w:cs="Calibri"/>
                <w:b/>
              </w:rPr>
              <w:t>Note 1</w:t>
            </w:r>
            <w:r w:rsidRPr="0056338E">
              <w:rPr>
                <w:rFonts w:asciiTheme="minorHAnsi" w:hAnsiTheme="minorHAnsi" w:cs="Calibri"/>
              </w:rPr>
              <w:t>:  Procurement and other financial files that stand out because of high dollar value, media attention, historical value, research value, or other extenuating circumstances may have permanent value.  Agencies that believe they hold such files should submit a records schedule to NARA.</w:t>
            </w:r>
          </w:p>
          <w:p w14:paraId="1A7F6A9F" w14:textId="77777777" w:rsidR="00C12B45" w:rsidRPr="0056338E" w:rsidRDefault="00C12B45" w:rsidP="00C12B45">
            <w:pPr>
              <w:tabs>
                <w:tab w:val="left" w:pos="-1080"/>
                <w:tab w:val="left" w:pos="-720"/>
                <w:tab w:val="left" w:pos="0"/>
                <w:tab w:val="left" w:pos="360"/>
                <w:tab w:val="left" w:pos="720"/>
                <w:tab w:val="left" w:pos="1080"/>
                <w:tab w:val="left" w:pos="1440"/>
                <w:tab w:val="left" w:pos="3600"/>
              </w:tabs>
              <w:spacing w:after="160" w:line="240" w:lineRule="auto"/>
              <w:ind w:left="360"/>
              <w:rPr>
                <w:rFonts w:asciiTheme="minorHAnsi" w:hAnsiTheme="minorHAnsi" w:cs="Calibri"/>
              </w:rPr>
            </w:pPr>
            <w:r>
              <w:rPr>
                <w:rStyle w:val="Strong"/>
                <w:rFonts w:ascii="ZWAdobeF" w:hAnsi="ZWAdobeF" w:cs="ZWAdobeF"/>
                <w:b w:val="0"/>
                <w:sz w:val="2"/>
                <w:szCs w:val="2"/>
              </w:rPr>
              <w:t>41T41T</w:t>
            </w:r>
            <w:r w:rsidRPr="0056338E">
              <w:rPr>
                <w:rStyle w:val="Strong"/>
                <w:rFonts w:asciiTheme="minorHAnsi" w:hAnsiTheme="minorHAnsi" w:cs="Calibri"/>
              </w:rPr>
              <w:t>Note 2</w:t>
            </w:r>
            <w:r>
              <w:rPr>
                <w:rStyle w:val="Strong"/>
                <w:rFonts w:ascii="ZWAdobeF" w:hAnsi="ZWAdobeF" w:cs="ZWAdobeF"/>
                <w:b w:val="0"/>
                <w:sz w:val="2"/>
                <w:szCs w:val="2"/>
              </w:rPr>
              <w:t>41T41T</w:t>
            </w:r>
            <w:r w:rsidRPr="0056338E">
              <w:rPr>
                <w:rFonts w:asciiTheme="minorHAnsi" w:hAnsiTheme="minorHAnsi" w:cs="Calibri"/>
              </w:rPr>
              <w:t xml:space="preserve">: </w:t>
            </w:r>
            <w:r>
              <w:rPr>
                <w:rFonts w:asciiTheme="minorHAnsi" w:hAnsiTheme="minorHAnsi" w:cs="Calibri"/>
              </w:rPr>
              <w:t xml:space="preserve"> </w:t>
            </w:r>
            <w:r w:rsidRPr="0056338E">
              <w:rPr>
                <w:rFonts w:asciiTheme="minorHAnsi" w:hAnsiTheme="minorHAnsi" w:cs="Calibri"/>
              </w:rPr>
              <w:t>Accounts and supporting documents pertaining to American Indians are not authorized for disposal by this schedule.  Such records should be reviewed and scheduled appropriately by the agency since they may be needed in litigation involving the Government’s role as trustee of property held by the Government and managed for the benefit of Indians.</w:t>
            </w:r>
          </w:p>
          <w:p w14:paraId="252A0A97" w14:textId="77777777" w:rsidR="00C12B45" w:rsidRDefault="00C12B45" w:rsidP="00C12B45">
            <w:pPr>
              <w:tabs>
                <w:tab w:val="left" w:pos="-1080"/>
                <w:tab w:val="left" w:pos="-720"/>
                <w:tab w:val="left" w:pos="0"/>
                <w:tab w:val="left" w:pos="360"/>
                <w:tab w:val="left" w:pos="720"/>
                <w:tab w:val="left" w:pos="1080"/>
                <w:tab w:val="left" w:pos="1440"/>
                <w:tab w:val="left" w:pos="3600"/>
              </w:tabs>
              <w:spacing w:after="0" w:line="240" w:lineRule="auto"/>
              <w:ind w:left="360"/>
              <w:rPr>
                <w:rFonts w:asciiTheme="minorHAnsi" w:hAnsiTheme="minorHAnsi" w:cs="Calibri"/>
              </w:rPr>
            </w:pPr>
            <w:r w:rsidRPr="0056338E">
              <w:rPr>
                <w:rFonts w:asciiTheme="minorHAnsi" w:hAnsiTheme="minorHAnsi" w:cs="Calibri"/>
                <w:b/>
              </w:rPr>
              <w:t>Note 3</w:t>
            </w:r>
            <w:r w:rsidRPr="0056338E">
              <w:rPr>
                <w:rFonts w:asciiTheme="minorHAnsi" w:hAnsiTheme="minorHAnsi" w:cs="Calibri"/>
              </w:rPr>
              <w:t>:  The Comptroller General has the right to require an agency to retain any portion of these records for a period of up to 10 years.</w:t>
            </w:r>
          </w:p>
          <w:p w14:paraId="58E4F881" w14:textId="77777777" w:rsidR="004C30CB" w:rsidRDefault="004C30CB" w:rsidP="00C12B45">
            <w:pPr>
              <w:tabs>
                <w:tab w:val="left" w:pos="-1080"/>
                <w:tab w:val="left" w:pos="-720"/>
                <w:tab w:val="left" w:pos="0"/>
                <w:tab w:val="left" w:pos="360"/>
                <w:tab w:val="left" w:pos="720"/>
                <w:tab w:val="left" w:pos="1080"/>
                <w:tab w:val="left" w:pos="1440"/>
                <w:tab w:val="left" w:pos="3600"/>
              </w:tabs>
              <w:spacing w:after="0" w:line="240" w:lineRule="auto"/>
              <w:ind w:left="360"/>
              <w:rPr>
                <w:rFonts w:asciiTheme="minorHAnsi" w:hAnsiTheme="minorHAnsi" w:cs="Calibri"/>
              </w:rPr>
            </w:pPr>
          </w:p>
          <w:p w14:paraId="631E48CC" w14:textId="77777777" w:rsidR="004C30CB" w:rsidRPr="004C30CB" w:rsidRDefault="004C30CB" w:rsidP="00C12B45">
            <w:pPr>
              <w:tabs>
                <w:tab w:val="left" w:pos="-1080"/>
                <w:tab w:val="left" w:pos="-720"/>
                <w:tab w:val="left" w:pos="0"/>
                <w:tab w:val="left" w:pos="360"/>
                <w:tab w:val="left" w:pos="720"/>
                <w:tab w:val="left" w:pos="1080"/>
                <w:tab w:val="left" w:pos="1440"/>
                <w:tab w:val="left" w:pos="3600"/>
              </w:tabs>
              <w:spacing w:after="0" w:line="240" w:lineRule="auto"/>
              <w:ind w:left="360"/>
              <w:rPr>
                <w:rFonts w:asciiTheme="minorHAnsi" w:hAnsiTheme="minorHAnsi" w:cs="Calibri"/>
                <w:b/>
              </w:rPr>
            </w:pPr>
            <w:r>
              <w:rPr>
                <w:rFonts w:asciiTheme="minorHAnsi" w:hAnsiTheme="minorHAnsi" w:cs="Calibri"/>
                <w:b/>
              </w:rPr>
              <w:lastRenderedPageBreak/>
              <w:t xml:space="preserve">Note 4: </w:t>
            </w:r>
            <w:r w:rsidRPr="003F6B0D">
              <w:rPr>
                <w:rFonts w:eastAsia="Times New Roman"/>
              </w:rPr>
              <w:t xml:space="preserve">Agencies must offer any records created prior to January 1, 1933, to the National Archives and Records Administration (NARA) before applying this </w:t>
            </w:r>
            <w:r>
              <w:rPr>
                <w:rFonts w:eastAsia="Times New Roman"/>
              </w:rPr>
              <w:t>disposition authority.</w:t>
            </w:r>
          </w:p>
        </w:tc>
        <w:tc>
          <w:tcPr>
            <w:tcW w:w="1080" w:type="dxa"/>
            <w:tcBorders>
              <w:bottom w:val="single" w:sz="4" w:space="0" w:color="auto"/>
            </w:tcBorders>
          </w:tcPr>
          <w:p w14:paraId="1BDBB572" w14:textId="77777777" w:rsidR="00C12B45" w:rsidRPr="00D5453A" w:rsidRDefault="00C12B45" w:rsidP="00C12B45">
            <w:pPr>
              <w:spacing w:after="0" w:line="240" w:lineRule="auto"/>
              <w:ind w:left="-25"/>
              <w:rPr>
                <w:rFonts w:asciiTheme="minorHAnsi" w:hAnsiTheme="minorHAnsi" w:cs="Calibri"/>
                <w:b/>
              </w:rPr>
            </w:pPr>
            <w:r w:rsidRPr="00D5453A">
              <w:rPr>
                <w:rFonts w:asciiTheme="minorHAnsi" w:hAnsiTheme="minorHAnsi" w:cs="Calibri"/>
                <w:b/>
              </w:rPr>
              <w:lastRenderedPageBreak/>
              <w:t>O</w:t>
            </w:r>
            <w:r w:rsidRPr="00D5453A">
              <w:rPr>
                <w:rFonts w:asciiTheme="minorHAnsi" w:hAnsiTheme="minorHAnsi" w:cs="Calibri"/>
                <w:b/>
                <w:color w:val="000000"/>
              </w:rPr>
              <w:t>fficial record</w:t>
            </w:r>
            <w:r w:rsidRPr="00D5453A">
              <w:rPr>
                <w:rFonts w:asciiTheme="minorHAnsi" w:hAnsiTheme="minorHAnsi" w:cs="Calibri"/>
                <w:b/>
              </w:rPr>
              <w:t xml:space="preserve"> held in the office </w:t>
            </w:r>
            <w:r w:rsidRPr="00D5453A">
              <w:rPr>
                <w:rFonts w:asciiTheme="minorHAnsi" w:hAnsiTheme="minorHAnsi" w:cs="Calibri"/>
                <w:b/>
              </w:rPr>
              <w:lastRenderedPageBreak/>
              <w:t>of record</w:t>
            </w:r>
            <w:r>
              <w:rPr>
                <w:rFonts w:asciiTheme="minorHAnsi" w:hAnsiTheme="minorHAnsi" w:cs="Calibri"/>
                <w:b/>
              </w:rPr>
              <w:t>.</w:t>
            </w:r>
          </w:p>
        </w:tc>
        <w:tc>
          <w:tcPr>
            <w:tcW w:w="1890" w:type="dxa"/>
            <w:tcBorders>
              <w:bottom w:val="single" w:sz="4" w:space="0" w:color="auto"/>
            </w:tcBorders>
          </w:tcPr>
          <w:p w14:paraId="56CC8924"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b/>
              </w:rPr>
              <w:lastRenderedPageBreak/>
              <w:t>Temporary</w:t>
            </w:r>
            <w:r w:rsidRPr="0056338E">
              <w:rPr>
                <w:rFonts w:asciiTheme="minorHAnsi" w:hAnsiTheme="minorHAnsi" w:cs="Calibri"/>
              </w:rPr>
              <w:t xml:space="preserve">.  Destroy </w:t>
            </w:r>
            <w:r w:rsidRPr="0056338E">
              <w:rPr>
                <w:rFonts w:asciiTheme="minorHAnsi" w:hAnsiTheme="minorHAnsi" w:cs="Calibri"/>
                <w:color w:val="000000"/>
              </w:rPr>
              <w:t>6</w:t>
            </w:r>
            <w:r w:rsidRPr="0056338E">
              <w:rPr>
                <w:rFonts w:asciiTheme="minorHAnsi" w:hAnsiTheme="minorHAnsi" w:cs="Calibri"/>
                <w:b/>
                <w:color w:val="FF00FF"/>
              </w:rPr>
              <w:t xml:space="preserve"> </w:t>
            </w:r>
            <w:r w:rsidRPr="0056338E">
              <w:rPr>
                <w:rFonts w:asciiTheme="minorHAnsi" w:hAnsiTheme="minorHAnsi" w:cs="Calibri"/>
              </w:rPr>
              <w:t xml:space="preserve">years after final payment or cancellation, but </w:t>
            </w:r>
            <w:r w:rsidRPr="0056338E">
              <w:rPr>
                <w:rFonts w:asciiTheme="minorHAnsi" w:hAnsiTheme="minorHAnsi" w:cs="Calibri"/>
              </w:rPr>
              <w:lastRenderedPageBreak/>
              <w:t>longer retention is authorized if required for business use.</w:t>
            </w:r>
          </w:p>
        </w:tc>
        <w:tc>
          <w:tcPr>
            <w:tcW w:w="1260" w:type="dxa"/>
            <w:tcBorders>
              <w:bottom w:val="single" w:sz="4" w:space="0" w:color="auto"/>
            </w:tcBorders>
          </w:tcPr>
          <w:p w14:paraId="7FB602CA"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rPr>
              <w:lastRenderedPageBreak/>
              <w:t>DAA-GRS-2013-0003-0001</w:t>
            </w:r>
          </w:p>
        </w:tc>
      </w:tr>
      <w:tr w:rsidR="00C12B45" w:rsidRPr="0056338E" w14:paraId="3227CC68" w14:textId="77777777" w:rsidTr="00A47EEE">
        <w:tc>
          <w:tcPr>
            <w:tcW w:w="727" w:type="dxa"/>
          </w:tcPr>
          <w:p w14:paraId="09D6EB1B" w14:textId="77777777" w:rsidR="00C12B45" w:rsidRPr="0056338E" w:rsidRDefault="00C12B45" w:rsidP="00C12B45">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Calibri"/>
              </w:rPr>
            </w:pPr>
            <w:r w:rsidRPr="0056338E">
              <w:rPr>
                <w:rFonts w:asciiTheme="minorHAnsi" w:hAnsiTheme="minorHAnsi" w:cs="Calibri"/>
              </w:rPr>
              <w:t>011</w:t>
            </w:r>
          </w:p>
        </w:tc>
        <w:tc>
          <w:tcPr>
            <w:tcW w:w="9540" w:type="dxa"/>
            <w:gridSpan w:val="2"/>
            <w:vMerge/>
          </w:tcPr>
          <w:p w14:paraId="15061406" w14:textId="77777777" w:rsidR="00C12B45" w:rsidRPr="0056338E" w:rsidRDefault="00C12B45" w:rsidP="00C12B45">
            <w:pPr>
              <w:tabs>
                <w:tab w:val="left" w:pos="-1080"/>
                <w:tab w:val="left" w:pos="-720"/>
                <w:tab w:val="left" w:pos="342"/>
                <w:tab w:val="left" w:pos="720"/>
                <w:tab w:val="left" w:pos="1080"/>
                <w:tab w:val="left" w:pos="1440"/>
                <w:tab w:val="left" w:pos="3600"/>
              </w:tabs>
              <w:spacing w:after="0" w:line="240" w:lineRule="auto"/>
              <w:rPr>
                <w:rFonts w:asciiTheme="minorHAnsi" w:hAnsiTheme="minorHAnsi" w:cs="Calibri"/>
              </w:rPr>
            </w:pPr>
          </w:p>
        </w:tc>
        <w:tc>
          <w:tcPr>
            <w:tcW w:w="1080" w:type="dxa"/>
          </w:tcPr>
          <w:p w14:paraId="253AD9E9" w14:textId="77777777" w:rsidR="00C12B45" w:rsidRDefault="00C12B45" w:rsidP="00C12B45">
            <w:pPr>
              <w:spacing w:after="0" w:line="240" w:lineRule="auto"/>
              <w:ind w:left="-25"/>
              <w:rPr>
                <w:rFonts w:asciiTheme="minorHAnsi" w:hAnsiTheme="minorHAnsi" w:cs="Calibri"/>
                <w:b/>
                <w:color w:val="000000"/>
              </w:rPr>
            </w:pPr>
            <w:r w:rsidRPr="00D5453A">
              <w:rPr>
                <w:rFonts w:asciiTheme="minorHAnsi" w:hAnsiTheme="minorHAnsi" w:cs="Calibri"/>
                <w:b/>
                <w:color w:val="000000"/>
              </w:rPr>
              <w:t>All other copies</w:t>
            </w:r>
            <w:r>
              <w:rPr>
                <w:rFonts w:asciiTheme="minorHAnsi" w:hAnsiTheme="minorHAnsi" w:cs="Calibri"/>
                <w:b/>
                <w:color w:val="000000"/>
              </w:rPr>
              <w:t>.</w:t>
            </w:r>
          </w:p>
          <w:p w14:paraId="5DC68E2B" w14:textId="77777777" w:rsidR="00C12B45" w:rsidRPr="00D5453A" w:rsidRDefault="00C12B45" w:rsidP="00C12B45">
            <w:pPr>
              <w:spacing w:after="0" w:line="240" w:lineRule="auto"/>
              <w:ind w:left="65"/>
              <w:rPr>
                <w:rFonts w:asciiTheme="minorHAnsi" w:hAnsiTheme="minorHAnsi" w:cs="Calibri"/>
                <w:sz w:val="18"/>
                <w:szCs w:val="18"/>
              </w:rPr>
            </w:pPr>
            <w:r w:rsidRPr="00D5453A">
              <w:rPr>
                <w:rFonts w:asciiTheme="minorHAnsi" w:hAnsiTheme="minorHAnsi" w:cs="Calibri"/>
                <w:sz w:val="18"/>
                <w:szCs w:val="18"/>
              </w:rPr>
              <w:t xml:space="preserve">Copies used for </w:t>
            </w:r>
            <w:proofErr w:type="spellStart"/>
            <w:r w:rsidRPr="00D5453A">
              <w:rPr>
                <w:rFonts w:asciiTheme="minorHAnsi" w:hAnsiTheme="minorHAnsi" w:cs="Calibri"/>
                <w:sz w:val="18"/>
                <w:szCs w:val="18"/>
              </w:rPr>
              <w:t>admini-strative</w:t>
            </w:r>
            <w:proofErr w:type="spellEnd"/>
            <w:r w:rsidRPr="00D5453A">
              <w:rPr>
                <w:rFonts w:asciiTheme="minorHAnsi" w:hAnsiTheme="minorHAnsi" w:cs="Calibri"/>
                <w:sz w:val="18"/>
                <w:szCs w:val="18"/>
              </w:rPr>
              <w:t xml:space="preserve"> or ref</w:t>
            </w:r>
            <w:r>
              <w:rPr>
                <w:rFonts w:asciiTheme="minorHAnsi" w:hAnsiTheme="minorHAnsi" w:cs="Calibri"/>
                <w:sz w:val="18"/>
                <w:szCs w:val="18"/>
              </w:rPr>
              <w:t>erence purposes</w:t>
            </w:r>
          </w:p>
        </w:tc>
        <w:tc>
          <w:tcPr>
            <w:tcW w:w="1890" w:type="dxa"/>
          </w:tcPr>
          <w:p w14:paraId="2548EF40" w14:textId="77777777" w:rsidR="00C12B45" w:rsidRPr="0056338E" w:rsidRDefault="00C12B45" w:rsidP="00C12B45">
            <w:pPr>
              <w:spacing w:after="0" w:line="240" w:lineRule="auto"/>
              <w:rPr>
                <w:rFonts w:asciiTheme="minorHAnsi" w:hAnsiTheme="minorHAnsi" w:cs="Calibri"/>
                <w:color w:val="392D1C"/>
              </w:rPr>
            </w:pPr>
            <w:r w:rsidRPr="0056338E">
              <w:rPr>
                <w:rFonts w:asciiTheme="minorHAnsi" w:hAnsiTheme="minorHAnsi" w:cs="Calibri"/>
                <w:b/>
              </w:rPr>
              <w:t>Temporary</w:t>
            </w:r>
            <w:r w:rsidRPr="0056338E">
              <w:rPr>
                <w:rFonts w:asciiTheme="minorHAnsi" w:hAnsiTheme="minorHAnsi" w:cs="Calibri"/>
              </w:rPr>
              <w:t>.  Destroy when business use ceases.</w:t>
            </w:r>
          </w:p>
        </w:tc>
        <w:tc>
          <w:tcPr>
            <w:tcW w:w="1260" w:type="dxa"/>
          </w:tcPr>
          <w:p w14:paraId="7A0F25BD"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rPr>
              <w:t>DAA-GRS-2013-0003-0002</w:t>
            </w:r>
          </w:p>
        </w:tc>
      </w:tr>
      <w:tr w:rsidR="00C12B45" w:rsidRPr="0056338E" w14:paraId="564D8D57" w14:textId="77777777" w:rsidTr="00A47EEE">
        <w:tc>
          <w:tcPr>
            <w:tcW w:w="727" w:type="dxa"/>
          </w:tcPr>
          <w:p w14:paraId="3BD9784A" w14:textId="77777777" w:rsidR="00C12B45" w:rsidRPr="00392B00" w:rsidRDefault="00C12B45" w:rsidP="00C12B45">
            <w:pPr>
              <w:spacing w:after="0" w:line="240" w:lineRule="auto"/>
              <w:jc w:val="center"/>
              <w:rPr>
                <w:rFonts w:asciiTheme="minorHAnsi" w:hAnsiTheme="minorHAnsi"/>
              </w:rPr>
            </w:pPr>
            <w:r>
              <w:rPr>
                <w:rFonts w:asciiTheme="minorHAnsi" w:hAnsiTheme="minorHAnsi"/>
              </w:rPr>
              <w:lastRenderedPageBreak/>
              <w:t>012</w:t>
            </w:r>
          </w:p>
        </w:tc>
        <w:tc>
          <w:tcPr>
            <w:tcW w:w="10620" w:type="dxa"/>
            <w:gridSpan w:val="3"/>
          </w:tcPr>
          <w:p w14:paraId="20E885CD" w14:textId="77777777" w:rsidR="00C12B45" w:rsidRPr="000F29A3" w:rsidRDefault="00C12B45" w:rsidP="00C12B45">
            <w:pPr>
              <w:spacing w:after="0" w:line="240" w:lineRule="auto"/>
              <w:rPr>
                <w:b/>
              </w:rPr>
            </w:pPr>
            <w:r>
              <w:rPr>
                <w:rFonts w:asciiTheme="minorHAnsi" w:hAnsiTheme="minorHAnsi"/>
                <w:b/>
              </w:rPr>
              <w:t xml:space="preserve">Bids and </w:t>
            </w:r>
            <w:r w:rsidRPr="000F29A3">
              <w:rPr>
                <w:rFonts w:asciiTheme="minorHAnsi" w:hAnsiTheme="minorHAnsi"/>
                <w:b/>
              </w:rPr>
              <w:t xml:space="preserve">proposals </w:t>
            </w:r>
            <w:r>
              <w:rPr>
                <w:rFonts w:asciiTheme="minorHAnsi" w:hAnsiTheme="minorHAnsi"/>
                <w:b/>
              </w:rPr>
              <w:t xml:space="preserve">neither </w:t>
            </w:r>
            <w:r w:rsidRPr="000F29A3">
              <w:rPr>
                <w:rFonts w:asciiTheme="minorHAnsi" w:hAnsiTheme="minorHAnsi"/>
                <w:b/>
              </w:rPr>
              <w:t xml:space="preserve">solicited </w:t>
            </w:r>
            <w:r>
              <w:rPr>
                <w:rFonts w:asciiTheme="minorHAnsi" w:hAnsiTheme="minorHAnsi"/>
                <w:b/>
              </w:rPr>
              <w:t>nor accepted.</w:t>
            </w:r>
          </w:p>
          <w:p w14:paraId="1361D7ED" w14:textId="77777777" w:rsidR="00C12B45" w:rsidRPr="00170E36" w:rsidRDefault="00C12B45" w:rsidP="00C12B45">
            <w:pPr>
              <w:spacing w:after="0" w:line="240" w:lineRule="auto"/>
              <w:ind w:left="335"/>
              <w:rPr>
                <w:rFonts w:asciiTheme="minorHAnsi" w:hAnsiTheme="minorHAnsi" w:cs="Arial"/>
                <w:shd w:val="clear" w:color="auto" w:fill="FFFFFF"/>
              </w:rPr>
            </w:pPr>
            <w:r w:rsidRPr="00850162">
              <w:rPr>
                <w:rFonts w:asciiTheme="minorHAnsi" w:hAnsiTheme="minorHAnsi" w:cs="Arial"/>
                <w:shd w:val="clear" w:color="auto" w:fill="FFFFFF"/>
              </w:rPr>
              <w:t>Bids and proposals that are both unsolicited and the subject of no further agency action.</w:t>
            </w:r>
          </w:p>
        </w:tc>
        <w:tc>
          <w:tcPr>
            <w:tcW w:w="1890" w:type="dxa"/>
          </w:tcPr>
          <w:p w14:paraId="2BA55965" w14:textId="77777777" w:rsidR="00C12B45" w:rsidRPr="00392B00" w:rsidRDefault="00C12B45" w:rsidP="00C12B45">
            <w:pPr>
              <w:spacing w:after="0" w:line="240" w:lineRule="auto"/>
              <w:contextualSpacing/>
              <w:rPr>
                <w:rFonts w:asciiTheme="minorHAnsi" w:hAnsiTheme="minorHAnsi"/>
              </w:rPr>
            </w:pPr>
            <w:r w:rsidRPr="00392B00">
              <w:rPr>
                <w:rFonts w:asciiTheme="minorHAnsi" w:hAnsiTheme="minorHAnsi"/>
                <w:b/>
              </w:rPr>
              <w:t>Temporary</w:t>
            </w:r>
            <w:r w:rsidRPr="00392B00">
              <w:rPr>
                <w:rFonts w:asciiTheme="minorHAnsi" w:hAnsiTheme="minorHAnsi"/>
              </w:rPr>
              <w:t xml:space="preserve">.  Destroy when </w:t>
            </w:r>
            <w:r>
              <w:rPr>
                <w:rFonts w:asciiTheme="minorHAnsi" w:hAnsiTheme="minorHAnsi"/>
              </w:rPr>
              <w:t>no longer required for business use</w:t>
            </w:r>
            <w:r w:rsidRPr="00392B00">
              <w:rPr>
                <w:rFonts w:asciiTheme="minorHAnsi" w:hAnsiTheme="minorHAnsi"/>
              </w:rPr>
              <w:t>.</w:t>
            </w:r>
          </w:p>
        </w:tc>
        <w:tc>
          <w:tcPr>
            <w:tcW w:w="1260" w:type="dxa"/>
          </w:tcPr>
          <w:p w14:paraId="0163374F" w14:textId="77777777" w:rsidR="00C12B45" w:rsidRPr="00392B00" w:rsidRDefault="00C12B45" w:rsidP="00C12B45">
            <w:pPr>
              <w:spacing w:after="0" w:line="240" w:lineRule="auto"/>
              <w:rPr>
                <w:rFonts w:asciiTheme="minorHAnsi" w:hAnsiTheme="minorHAnsi" w:cstheme="minorHAnsi"/>
              </w:rPr>
            </w:pPr>
            <w:r>
              <w:rPr>
                <w:rFonts w:asciiTheme="minorHAnsi" w:hAnsiTheme="minorHAnsi"/>
              </w:rPr>
              <w:t>DAA-GRS-2016-0001-</w:t>
            </w:r>
            <w:r w:rsidRPr="00392B00">
              <w:rPr>
                <w:rFonts w:asciiTheme="minorHAnsi" w:hAnsiTheme="minorHAnsi"/>
              </w:rPr>
              <w:t>000</w:t>
            </w:r>
            <w:r>
              <w:rPr>
                <w:rFonts w:asciiTheme="minorHAnsi" w:hAnsiTheme="minorHAnsi"/>
              </w:rPr>
              <w:t>1</w:t>
            </w:r>
          </w:p>
        </w:tc>
      </w:tr>
      <w:tr w:rsidR="00C12B45" w:rsidRPr="0056338E" w14:paraId="72C3F527" w14:textId="77777777" w:rsidTr="00A47EEE">
        <w:tc>
          <w:tcPr>
            <w:tcW w:w="727" w:type="dxa"/>
          </w:tcPr>
          <w:p w14:paraId="783432EC" w14:textId="77777777" w:rsidR="00C12B45" w:rsidRPr="0056338E" w:rsidRDefault="00C12B45" w:rsidP="00C12B45">
            <w:pPr>
              <w:spacing w:after="0" w:line="240" w:lineRule="auto"/>
              <w:jc w:val="center"/>
              <w:rPr>
                <w:rFonts w:asciiTheme="minorHAnsi" w:hAnsiTheme="minorHAnsi" w:cs="Calibri"/>
              </w:rPr>
            </w:pPr>
            <w:r w:rsidRPr="0056338E">
              <w:rPr>
                <w:rFonts w:asciiTheme="minorHAnsi" w:hAnsiTheme="minorHAnsi" w:cs="Calibri"/>
              </w:rPr>
              <w:t>020</w:t>
            </w:r>
          </w:p>
        </w:tc>
        <w:tc>
          <w:tcPr>
            <w:tcW w:w="10620" w:type="dxa"/>
            <w:gridSpan w:val="3"/>
          </w:tcPr>
          <w:p w14:paraId="059277C2" w14:textId="77777777" w:rsidR="00C12B45" w:rsidRPr="0056338E" w:rsidRDefault="00C12B45" w:rsidP="00C12B45">
            <w:pPr>
              <w:spacing w:after="0" w:line="240" w:lineRule="auto"/>
              <w:rPr>
                <w:rFonts w:asciiTheme="minorHAnsi" w:hAnsiTheme="minorHAnsi" w:cs="Calibri"/>
                <w:b/>
              </w:rPr>
            </w:pPr>
            <w:r w:rsidRPr="0056338E">
              <w:rPr>
                <w:rFonts w:asciiTheme="minorHAnsi" w:hAnsiTheme="minorHAnsi" w:cs="Calibri"/>
                <w:b/>
              </w:rPr>
              <w:t>Records supporting compilation of agency financial statements and related audit, and all records of all other reports.</w:t>
            </w:r>
          </w:p>
          <w:p w14:paraId="5F08EFDE" w14:textId="77777777" w:rsidR="00C12B45" w:rsidRPr="0056338E" w:rsidRDefault="00C12B45" w:rsidP="00C12B45">
            <w:pPr>
              <w:tabs>
                <w:tab w:val="left" w:pos="515"/>
              </w:tabs>
              <w:spacing w:after="0" w:line="240" w:lineRule="auto"/>
              <w:ind w:left="335"/>
              <w:rPr>
                <w:rFonts w:asciiTheme="minorHAnsi" w:hAnsiTheme="minorHAnsi" w:cs="Calibri"/>
              </w:rPr>
            </w:pPr>
            <w:r w:rsidRPr="0056338E">
              <w:rPr>
                <w:rFonts w:asciiTheme="minorHAnsi" w:hAnsiTheme="minorHAnsi" w:cs="Calibri"/>
              </w:rPr>
              <w:t>Includes records such as:</w:t>
            </w:r>
          </w:p>
          <w:p w14:paraId="74E6FFCC" w14:textId="77777777" w:rsidR="00C12B45" w:rsidRPr="0056338E" w:rsidRDefault="00C12B45" w:rsidP="00C12B45">
            <w:pPr>
              <w:pStyle w:val="ListParagraph"/>
              <w:numPr>
                <w:ilvl w:val="0"/>
                <w:numId w:val="8"/>
              </w:numPr>
              <w:tabs>
                <w:tab w:val="left" w:pos="605"/>
                <w:tab w:val="left" w:pos="1080"/>
              </w:tabs>
              <w:spacing w:after="0" w:line="240" w:lineRule="auto"/>
              <w:ind w:left="695"/>
              <w:rPr>
                <w:rFonts w:asciiTheme="minorHAnsi" w:hAnsiTheme="minorHAnsi" w:cs="Calibri"/>
              </w:rPr>
            </w:pPr>
            <w:r>
              <w:rPr>
                <w:rFonts w:asciiTheme="minorHAnsi" w:hAnsiTheme="minorHAnsi" w:cs="Calibri"/>
              </w:rPr>
              <w:t>s</w:t>
            </w:r>
            <w:r w:rsidRPr="0056338E">
              <w:rPr>
                <w:rFonts w:asciiTheme="minorHAnsi" w:hAnsiTheme="minorHAnsi" w:cs="Calibri"/>
              </w:rPr>
              <w:t xml:space="preserve">chedules and reconciliations prepared to support financial statements </w:t>
            </w:r>
          </w:p>
          <w:p w14:paraId="5CF02161" w14:textId="77777777" w:rsidR="00C12B45" w:rsidRPr="0056338E" w:rsidRDefault="00C12B45" w:rsidP="00C12B45">
            <w:pPr>
              <w:pStyle w:val="ListParagraph"/>
              <w:numPr>
                <w:ilvl w:val="0"/>
                <w:numId w:val="8"/>
              </w:numPr>
              <w:tabs>
                <w:tab w:val="left" w:pos="605"/>
                <w:tab w:val="left" w:pos="1080"/>
              </w:tabs>
              <w:spacing w:after="0" w:line="240" w:lineRule="auto"/>
              <w:ind w:left="695"/>
              <w:rPr>
                <w:rFonts w:asciiTheme="minorHAnsi" w:hAnsiTheme="minorHAnsi" w:cs="Calibri"/>
                <w:color w:val="222222"/>
                <w:shd w:val="clear" w:color="auto" w:fill="FFFFFF"/>
              </w:rPr>
            </w:pPr>
            <w:r>
              <w:rPr>
                <w:rFonts w:asciiTheme="minorHAnsi" w:hAnsiTheme="minorHAnsi" w:cs="Calibri"/>
              </w:rPr>
              <w:t>d</w:t>
            </w:r>
            <w:r w:rsidRPr="0056338E">
              <w:rPr>
                <w:rFonts w:asciiTheme="minorHAnsi" w:hAnsiTheme="minorHAnsi" w:cs="Calibri"/>
              </w:rPr>
              <w:t xml:space="preserve">ocumentation of decisions re accounting treatments </w:t>
            </w:r>
            <w:r w:rsidRPr="0056338E">
              <w:rPr>
                <w:rFonts w:asciiTheme="minorHAnsi" w:hAnsiTheme="minorHAnsi" w:cs="Calibri"/>
                <w:color w:val="222222"/>
                <w:shd w:val="clear" w:color="auto" w:fill="FFFFFF"/>
              </w:rPr>
              <w:t>and issue resolutions</w:t>
            </w:r>
          </w:p>
          <w:p w14:paraId="033D7237" w14:textId="77777777" w:rsidR="00C12B45" w:rsidRPr="0056338E" w:rsidRDefault="00C12B45" w:rsidP="00C12B45">
            <w:pPr>
              <w:pStyle w:val="ListParagraph"/>
              <w:numPr>
                <w:ilvl w:val="0"/>
                <w:numId w:val="8"/>
              </w:numPr>
              <w:tabs>
                <w:tab w:val="left" w:pos="605"/>
                <w:tab w:val="left" w:pos="1080"/>
              </w:tabs>
              <w:spacing w:after="0" w:line="240" w:lineRule="auto"/>
              <w:ind w:left="695"/>
              <w:rPr>
                <w:rFonts w:asciiTheme="minorHAnsi" w:hAnsiTheme="minorHAnsi" w:cs="Calibri"/>
                <w:color w:val="222222"/>
                <w:shd w:val="clear" w:color="auto" w:fill="FFFFFF"/>
              </w:rPr>
            </w:pPr>
            <w:r>
              <w:rPr>
                <w:rFonts w:asciiTheme="minorHAnsi" w:hAnsiTheme="minorHAnsi" w:cs="Calibri"/>
                <w:color w:val="222222"/>
                <w:shd w:val="clear" w:color="auto" w:fill="FFFFFF"/>
              </w:rPr>
              <w:t>a</w:t>
            </w:r>
            <w:r w:rsidRPr="0056338E">
              <w:rPr>
                <w:rFonts w:asciiTheme="minorHAnsi" w:hAnsiTheme="minorHAnsi" w:cs="Calibri"/>
                <w:color w:val="222222"/>
                <w:shd w:val="clear" w:color="auto" w:fill="FFFFFF"/>
              </w:rPr>
              <w:t>udit reports, management letters, notifications of findings, and recommendations</w:t>
            </w:r>
          </w:p>
          <w:p w14:paraId="675351A3" w14:textId="77777777" w:rsidR="00C12B45" w:rsidRPr="0056338E" w:rsidRDefault="00C12B45" w:rsidP="00C12B45">
            <w:pPr>
              <w:pStyle w:val="ListParagraph"/>
              <w:numPr>
                <w:ilvl w:val="0"/>
                <w:numId w:val="8"/>
              </w:numPr>
              <w:tabs>
                <w:tab w:val="left" w:pos="605"/>
                <w:tab w:val="left" w:pos="1080"/>
              </w:tabs>
              <w:spacing w:after="0" w:line="240" w:lineRule="auto"/>
              <w:ind w:left="695"/>
              <w:rPr>
                <w:rFonts w:asciiTheme="minorHAnsi" w:hAnsiTheme="minorHAnsi" w:cs="Calibri"/>
                <w:color w:val="222222"/>
                <w:shd w:val="clear" w:color="auto" w:fill="FFFFFF"/>
              </w:rPr>
            </w:pPr>
            <w:r>
              <w:rPr>
                <w:rFonts w:asciiTheme="minorHAnsi" w:hAnsiTheme="minorHAnsi" w:cs="Calibri"/>
                <w:color w:val="222222"/>
                <w:shd w:val="clear" w:color="auto" w:fill="FFFFFF"/>
              </w:rPr>
              <w:t>d</w:t>
            </w:r>
            <w:r w:rsidRPr="0056338E">
              <w:rPr>
                <w:rFonts w:asciiTheme="minorHAnsi" w:hAnsiTheme="minorHAnsi" w:cs="Calibri"/>
                <w:color w:val="222222"/>
                <w:shd w:val="clear" w:color="auto" w:fill="FFFFFF"/>
              </w:rPr>
              <w:t>ocumentation of legal and management representations and negotiations</w:t>
            </w:r>
          </w:p>
          <w:p w14:paraId="026FDA20" w14:textId="77777777" w:rsidR="00C12B45" w:rsidRPr="0056338E" w:rsidRDefault="00C12B45" w:rsidP="00C12B45">
            <w:pPr>
              <w:pStyle w:val="ListParagraph"/>
              <w:numPr>
                <w:ilvl w:val="0"/>
                <w:numId w:val="8"/>
              </w:numPr>
              <w:tabs>
                <w:tab w:val="left" w:pos="605"/>
                <w:tab w:val="left" w:pos="1080"/>
              </w:tabs>
              <w:spacing w:after="0" w:line="240" w:lineRule="auto"/>
              <w:ind w:left="695"/>
              <w:rPr>
                <w:rFonts w:asciiTheme="minorHAnsi" w:hAnsiTheme="minorHAnsi" w:cs="Calibri"/>
                <w:color w:val="222222"/>
                <w:shd w:val="clear" w:color="auto" w:fill="FFFFFF"/>
              </w:rPr>
            </w:pPr>
            <w:r>
              <w:rPr>
                <w:rFonts w:asciiTheme="minorHAnsi" w:hAnsiTheme="minorHAnsi" w:cs="Calibri"/>
                <w:color w:val="222222"/>
                <w:shd w:val="clear" w:color="auto" w:fill="FFFFFF"/>
              </w:rPr>
              <w:t>c</w:t>
            </w:r>
            <w:r w:rsidRPr="0056338E">
              <w:rPr>
                <w:rFonts w:asciiTheme="minorHAnsi" w:hAnsiTheme="minorHAnsi" w:cs="Calibri"/>
                <w:color w:val="222222"/>
                <w:shd w:val="clear" w:color="auto" w:fill="FFFFFF"/>
              </w:rPr>
              <w:t>orrespondence and w</w:t>
            </w:r>
            <w:r w:rsidRPr="0056338E">
              <w:rPr>
                <w:rFonts w:asciiTheme="minorHAnsi" w:hAnsiTheme="minorHAnsi" w:cs="Calibri"/>
              </w:rPr>
              <w:t>ork papers</w:t>
            </w:r>
            <w:r w:rsidRPr="0056338E">
              <w:rPr>
                <w:rFonts w:asciiTheme="minorHAnsi" w:hAnsiTheme="minorHAnsi" w:cs="Calibri"/>
                <w:color w:val="222222"/>
                <w:shd w:val="clear" w:color="auto" w:fill="FFFFFF"/>
              </w:rPr>
              <w:t xml:space="preserve"> </w:t>
            </w:r>
          </w:p>
          <w:p w14:paraId="180FA411" w14:textId="77777777" w:rsidR="00C12B45" w:rsidRPr="0056338E" w:rsidRDefault="00C12B45" w:rsidP="00C12B45">
            <w:pPr>
              <w:pStyle w:val="ListParagraph"/>
              <w:numPr>
                <w:ilvl w:val="0"/>
                <w:numId w:val="8"/>
              </w:numPr>
              <w:tabs>
                <w:tab w:val="left" w:pos="605"/>
                <w:tab w:val="left" w:pos="1080"/>
              </w:tabs>
              <w:spacing w:after="0" w:line="240" w:lineRule="auto"/>
              <w:ind w:left="695"/>
              <w:rPr>
                <w:rFonts w:asciiTheme="minorHAnsi" w:hAnsiTheme="minorHAnsi" w:cs="Calibri"/>
                <w:color w:val="222222"/>
                <w:shd w:val="clear" w:color="auto" w:fill="FFFFFF"/>
              </w:rPr>
            </w:pPr>
            <w:r>
              <w:rPr>
                <w:rFonts w:asciiTheme="minorHAnsi" w:hAnsiTheme="minorHAnsi" w:cs="Calibri"/>
                <w:color w:val="222222"/>
                <w:shd w:val="clear" w:color="auto" w:fill="FFFFFF"/>
              </w:rPr>
              <w:t>i</w:t>
            </w:r>
            <w:r w:rsidRPr="0056338E">
              <w:rPr>
                <w:rFonts w:asciiTheme="minorHAnsi" w:hAnsiTheme="minorHAnsi" w:cs="Calibri"/>
                <w:color w:val="222222"/>
                <w:shd w:val="clear" w:color="auto" w:fill="FFFFFF"/>
              </w:rPr>
              <w:t xml:space="preserve">nterim, </w:t>
            </w:r>
            <w:proofErr w:type="gramStart"/>
            <w:r w:rsidRPr="0056338E">
              <w:rPr>
                <w:rFonts w:asciiTheme="minorHAnsi" w:hAnsiTheme="minorHAnsi" w:cs="Calibri"/>
                <w:color w:val="222222"/>
                <w:shd w:val="clear" w:color="auto" w:fill="FFFFFF"/>
              </w:rPr>
              <w:t>quarterly</w:t>
            </w:r>
            <w:proofErr w:type="gramEnd"/>
            <w:r w:rsidRPr="0056338E">
              <w:rPr>
                <w:rFonts w:asciiTheme="minorHAnsi" w:hAnsiTheme="minorHAnsi" w:cs="Calibri"/>
                <w:color w:val="222222"/>
                <w:shd w:val="clear" w:color="auto" w:fill="FFFFFF"/>
              </w:rPr>
              <w:t xml:space="preserve"> and other reports</w:t>
            </w:r>
          </w:p>
          <w:p w14:paraId="2B15DAA0" w14:textId="77777777" w:rsidR="00C12B45" w:rsidRPr="0056338E" w:rsidRDefault="00C12B45" w:rsidP="00C12B45">
            <w:pPr>
              <w:tabs>
                <w:tab w:val="left" w:pos="605"/>
                <w:tab w:val="left" w:pos="1080"/>
              </w:tabs>
              <w:spacing w:after="0" w:line="240" w:lineRule="auto"/>
              <w:rPr>
                <w:rFonts w:asciiTheme="minorHAnsi" w:hAnsiTheme="minorHAnsi" w:cs="Calibri"/>
                <w:color w:val="222222"/>
                <w:shd w:val="clear" w:color="auto" w:fill="FFFFFF"/>
              </w:rPr>
            </w:pPr>
          </w:p>
        </w:tc>
        <w:tc>
          <w:tcPr>
            <w:tcW w:w="1890" w:type="dxa"/>
          </w:tcPr>
          <w:p w14:paraId="0070EA52"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b/>
              </w:rPr>
              <w:t>Temporary</w:t>
            </w:r>
            <w:r w:rsidRPr="0056338E">
              <w:rPr>
                <w:rFonts w:asciiTheme="minorHAnsi" w:hAnsiTheme="minorHAnsi" w:cs="Calibri"/>
              </w:rPr>
              <w:t>.  Destroy 2 years after completion of audit or closure of financial statement</w:t>
            </w:r>
            <w:r>
              <w:rPr>
                <w:rFonts w:asciiTheme="minorHAnsi" w:hAnsiTheme="minorHAnsi" w:cs="Calibri"/>
              </w:rPr>
              <w:t xml:space="preserve"> /</w:t>
            </w:r>
            <w:r w:rsidRPr="0056338E">
              <w:rPr>
                <w:rFonts w:asciiTheme="minorHAnsi" w:hAnsiTheme="minorHAnsi" w:cs="Calibri"/>
              </w:rPr>
              <w:t>accounting treat</w:t>
            </w:r>
            <w:r>
              <w:rPr>
                <w:rFonts w:asciiTheme="minorHAnsi" w:hAnsiTheme="minorHAnsi" w:cs="Calibri"/>
              </w:rPr>
              <w:t>-</w:t>
            </w:r>
            <w:proofErr w:type="spellStart"/>
            <w:r>
              <w:rPr>
                <w:rFonts w:asciiTheme="minorHAnsi" w:hAnsiTheme="minorHAnsi" w:cs="Calibri"/>
              </w:rPr>
              <w:t>ment</w:t>
            </w:r>
            <w:proofErr w:type="spellEnd"/>
            <w:r>
              <w:rPr>
                <w:rFonts w:asciiTheme="minorHAnsi" w:hAnsiTheme="minorHAnsi" w:cs="Calibri"/>
              </w:rPr>
              <w:t>/</w:t>
            </w:r>
            <w:r w:rsidRPr="0056338E">
              <w:rPr>
                <w:rFonts w:asciiTheme="minorHAnsi" w:hAnsiTheme="minorHAnsi" w:cs="Calibri"/>
              </w:rPr>
              <w:t>issue, but longer retention is authorized if required for business use.</w:t>
            </w:r>
          </w:p>
        </w:tc>
        <w:tc>
          <w:tcPr>
            <w:tcW w:w="1260" w:type="dxa"/>
          </w:tcPr>
          <w:p w14:paraId="06D9F621"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rPr>
              <w:t>DAA-GRS-2013-0003-0011</w:t>
            </w:r>
          </w:p>
        </w:tc>
      </w:tr>
      <w:tr w:rsidR="00C12B45" w:rsidRPr="0056338E" w14:paraId="70E9348A" w14:textId="77777777" w:rsidTr="00A47EEE">
        <w:tc>
          <w:tcPr>
            <w:tcW w:w="727" w:type="dxa"/>
          </w:tcPr>
          <w:p w14:paraId="62A0C21A" w14:textId="77777777" w:rsidR="00C12B45" w:rsidRPr="0056338E" w:rsidRDefault="00C12B45" w:rsidP="00C12B45">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cs="Calibri"/>
              </w:rPr>
            </w:pPr>
            <w:r w:rsidRPr="0056338E">
              <w:rPr>
                <w:rFonts w:asciiTheme="minorHAnsi" w:hAnsiTheme="minorHAnsi" w:cs="Calibri"/>
              </w:rPr>
              <w:br w:type="page"/>
              <w:t>030</w:t>
            </w:r>
          </w:p>
        </w:tc>
        <w:tc>
          <w:tcPr>
            <w:tcW w:w="10620" w:type="dxa"/>
            <w:gridSpan w:val="3"/>
          </w:tcPr>
          <w:p w14:paraId="4C435B74" w14:textId="77777777" w:rsidR="00C12B45" w:rsidRPr="0056338E" w:rsidRDefault="00C12B45" w:rsidP="00C12B45">
            <w:pPr>
              <w:tabs>
                <w:tab w:val="left" w:pos="-1080"/>
                <w:tab w:val="left" w:pos="-720"/>
                <w:tab w:val="left" w:pos="342"/>
                <w:tab w:val="left" w:pos="720"/>
                <w:tab w:val="left" w:pos="1080"/>
                <w:tab w:val="left" w:pos="1440"/>
                <w:tab w:val="left" w:pos="3600"/>
              </w:tabs>
              <w:spacing w:after="0" w:line="240" w:lineRule="auto"/>
              <w:rPr>
                <w:rFonts w:asciiTheme="minorHAnsi" w:hAnsiTheme="minorHAnsi" w:cs="Calibri"/>
              </w:rPr>
            </w:pPr>
            <w:r w:rsidRPr="0056338E">
              <w:rPr>
                <w:rFonts w:asciiTheme="minorHAnsi" w:hAnsiTheme="minorHAnsi" w:cs="Calibri"/>
                <w:b/>
              </w:rPr>
              <w:t xml:space="preserve">Property, </w:t>
            </w:r>
            <w:proofErr w:type="gramStart"/>
            <w:r w:rsidRPr="0056338E">
              <w:rPr>
                <w:rFonts w:asciiTheme="minorHAnsi" w:hAnsiTheme="minorHAnsi" w:cs="Calibri"/>
                <w:b/>
              </w:rPr>
              <w:t>plant</w:t>
            </w:r>
            <w:proofErr w:type="gramEnd"/>
            <w:r w:rsidRPr="0056338E">
              <w:rPr>
                <w:rFonts w:asciiTheme="minorHAnsi" w:hAnsiTheme="minorHAnsi" w:cs="Calibri"/>
                <w:b/>
              </w:rPr>
              <w:t xml:space="preserve"> and equipment (PP&amp;E) and other asset accounting</w:t>
            </w:r>
            <w:r w:rsidRPr="0056338E">
              <w:rPr>
                <w:rFonts w:asciiTheme="minorHAnsi" w:hAnsiTheme="minorHAnsi" w:cs="Calibri"/>
              </w:rPr>
              <w:t xml:space="preserve">.  </w:t>
            </w:r>
          </w:p>
          <w:p w14:paraId="4F183C38" w14:textId="77777777" w:rsidR="00C12B45" w:rsidRPr="0056338E" w:rsidRDefault="00C12B45" w:rsidP="00C12B45">
            <w:pPr>
              <w:tabs>
                <w:tab w:val="left" w:pos="335"/>
              </w:tabs>
              <w:spacing w:after="0" w:line="240" w:lineRule="auto"/>
              <w:ind w:left="335"/>
              <w:rPr>
                <w:rFonts w:asciiTheme="minorHAnsi" w:hAnsiTheme="minorHAnsi" w:cs="Calibri"/>
                <w:iCs/>
              </w:rPr>
            </w:pPr>
            <w:r w:rsidRPr="0056338E">
              <w:rPr>
                <w:rFonts w:asciiTheme="minorHAnsi" w:hAnsiTheme="minorHAnsi" w:cs="Calibri"/>
              </w:rPr>
              <w:t>R</w:t>
            </w:r>
            <w:r w:rsidRPr="0056338E">
              <w:rPr>
                <w:rFonts w:asciiTheme="minorHAnsi" w:hAnsiTheme="minorHAnsi" w:cs="Calibri"/>
                <w:iCs/>
              </w:rPr>
              <w:t xml:space="preserve">ecords necessary for documenting the existence, acquisition, ownership, cost, valuation, depreciation, and classification of fixed assets such as real property, capitalized personal property, internal use software, equipment, and other assets and liabilities reported on an agency’s annual financial </w:t>
            </w:r>
            <w:proofErr w:type="spellStart"/>
            <w:r w:rsidRPr="0056338E">
              <w:rPr>
                <w:rFonts w:asciiTheme="minorHAnsi" w:hAnsiTheme="minorHAnsi" w:cs="Calibri"/>
                <w:iCs/>
              </w:rPr>
              <w:t>statement</w:t>
            </w:r>
            <w:r>
              <w:rPr>
                <w:rFonts w:ascii="ZWAdobeF" w:hAnsi="ZWAdobeF" w:cs="ZWAdobeF"/>
                <w:iCs/>
                <w:sz w:val="2"/>
                <w:szCs w:val="2"/>
              </w:rPr>
              <w:t>SS</w:t>
            </w:r>
            <w:r w:rsidRPr="0056338E">
              <w:rPr>
                <w:rFonts w:asciiTheme="minorHAnsi" w:hAnsiTheme="minorHAnsi" w:cs="Calibri"/>
                <w:iCs/>
                <w:strike/>
              </w:rPr>
              <w:t>s</w:t>
            </w:r>
            <w:r>
              <w:rPr>
                <w:rFonts w:ascii="ZWAdobeF" w:hAnsi="ZWAdobeF" w:cs="ZWAdobeF"/>
                <w:iCs/>
                <w:sz w:val="2"/>
                <w:szCs w:val="2"/>
              </w:rPr>
              <w:t>SS</w:t>
            </w:r>
            <w:proofErr w:type="spellEnd"/>
            <w:r w:rsidRPr="0056338E">
              <w:rPr>
                <w:rFonts w:asciiTheme="minorHAnsi" w:hAnsiTheme="minorHAnsi" w:cs="Calibri"/>
                <w:iCs/>
              </w:rPr>
              <w:t xml:space="preserve"> (agency net worth or financial position), and non-capitalized but monitored PP&amp;E, such as:</w:t>
            </w:r>
            <w:r w:rsidRPr="0056338E">
              <w:rPr>
                <w:rFonts w:asciiTheme="minorHAnsi" w:hAnsiTheme="minorHAnsi" w:cs="Calibri"/>
              </w:rPr>
              <w:t xml:space="preserve"> </w:t>
            </w:r>
          </w:p>
          <w:p w14:paraId="6FCB0A54" w14:textId="77777777" w:rsidR="00C12B45" w:rsidRPr="0056338E" w:rsidRDefault="00C12B45" w:rsidP="00C12B45">
            <w:pPr>
              <w:pStyle w:val="ListParagraph"/>
              <w:numPr>
                <w:ilvl w:val="0"/>
                <w:numId w:val="10"/>
              </w:numPr>
              <w:spacing w:after="0" w:line="240" w:lineRule="auto"/>
              <w:ind w:left="605" w:hanging="270"/>
              <w:rPr>
                <w:rFonts w:asciiTheme="minorHAnsi" w:hAnsiTheme="minorHAnsi" w:cs="Calibri"/>
                <w:iCs/>
              </w:rPr>
            </w:pPr>
            <w:r>
              <w:rPr>
                <w:rFonts w:asciiTheme="minorHAnsi" w:hAnsiTheme="minorHAnsi" w:cs="Calibri"/>
                <w:iCs/>
              </w:rPr>
              <w:t>p</w:t>
            </w:r>
            <w:r w:rsidRPr="0056338E">
              <w:rPr>
                <w:rFonts w:asciiTheme="minorHAnsi" w:hAnsiTheme="minorHAnsi" w:cs="Calibri"/>
                <w:iCs/>
              </w:rPr>
              <w:t>urchase orders and contracts</w:t>
            </w:r>
          </w:p>
          <w:p w14:paraId="5B583E7C" w14:textId="77777777" w:rsidR="00C12B45" w:rsidRPr="0056338E" w:rsidRDefault="00C12B45" w:rsidP="00C12B45">
            <w:pPr>
              <w:pStyle w:val="ListParagraph"/>
              <w:numPr>
                <w:ilvl w:val="0"/>
                <w:numId w:val="10"/>
              </w:numPr>
              <w:spacing w:after="0" w:line="240" w:lineRule="auto"/>
              <w:ind w:left="605" w:hanging="270"/>
              <w:rPr>
                <w:rFonts w:asciiTheme="minorHAnsi" w:hAnsiTheme="minorHAnsi" w:cs="Calibri"/>
                <w:iCs/>
              </w:rPr>
            </w:pPr>
            <w:r>
              <w:rPr>
                <w:rFonts w:asciiTheme="minorHAnsi" w:hAnsiTheme="minorHAnsi" w:cs="Calibri"/>
                <w:iCs/>
              </w:rPr>
              <w:t>i</w:t>
            </w:r>
            <w:r w:rsidRPr="0056338E">
              <w:rPr>
                <w:rFonts w:asciiTheme="minorHAnsi" w:hAnsiTheme="minorHAnsi" w:cs="Calibri"/>
                <w:iCs/>
              </w:rPr>
              <w:t>nvoices</w:t>
            </w:r>
          </w:p>
          <w:p w14:paraId="6362128E" w14:textId="77777777" w:rsidR="00C12B45" w:rsidRPr="0056338E" w:rsidRDefault="00C12B45" w:rsidP="00C12B45">
            <w:pPr>
              <w:pStyle w:val="ListParagraph"/>
              <w:numPr>
                <w:ilvl w:val="0"/>
                <w:numId w:val="10"/>
              </w:numPr>
              <w:spacing w:after="0" w:line="240" w:lineRule="auto"/>
              <w:ind w:left="605" w:hanging="270"/>
              <w:rPr>
                <w:rFonts w:asciiTheme="minorHAnsi" w:hAnsiTheme="minorHAnsi" w:cs="Calibri"/>
                <w:iCs/>
              </w:rPr>
            </w:pPr>
            <w:r>
              <w:rPr>
                <w:rFonts w:asciiTheme="minorHAnsi" w:hAnsiTheme="minorHAnsi" w:cs="Calibri"/>
                <w:iCs/>
              </w:rPr>
              <w:t>a</w:t>
            </w:r>
            <w:r w:rsidRPr="0056338E">
              <w:rPr>
                <w:rFonts w:asciiTheme="minorHAnsi" w:hAnsiTheme="minorHAnsi" w:cs="Calibri"/>
                <w:iCs/>
              </w:rPr>
              <w:t>ppraisals</w:t>
            </w:r>
          </w:p>
          <w:p w14:paraId="446EC6EC" w14:textId="77777777" w:rsidR="00C12B45" w:rsidRPr="0056338E" w:rsidRDefault="00C12B45" w:rsidP="00C12B45">
            <w:pPr>
              <w:pStyle w:val="ListParagraph"/>
              <w:numPr>
                <w:ilvl w:val="0"/>
                <w:numId w:val="10"/>
              </w:numPr>
              <w:spacing w:after="0" w:line="240" w:lineRule="auto"/>
              <w:ind w:left="605" w:hanging="270"/>
              <w:rPr>
                <w:rFonts w:asciiTheme="minorHAnsi" w:hAnsiTheme="minorHAnsi" w:cs="Calibri"/>
                <w:iCs/>
              </w:rPr>
            </w:pPr>
            <w:r>
              <w:rPr>
                <w:rFonts w:asciiTheme="minorHAnsi" w:hAnsiTheme="minorHAnsi" w:cs="Calibri"/>
                <w:iCs/>
              </w:rPr>
              <w:t>c</w:t>
            </w:r>
            <w:r w:rsidRPr="0056338E">
              <w:rPr>
                <w:rFonts w:asciiTheme="minorHAnsi" w:hAnsiTheme="minorHAnsi" w:cs="Calibri"/>
                <w:iCs/>
              </w:rPr>
              <w:t>osting and pricing data</w:t>
            </w:r>
          </w:p>
          <w:p w14:paraId="68D236CE" w14:textId="77777777" w:rsidR="00C12B45" w:rsidRPr="0056338E" w:rsidRDefault="00C12B45" w:rsidP="00C12B45">
            <w:pPr>
              <w:pStyle w:val="ListParagraph"/>
              <w:numPr>
                <w:ilvl w:val="0"/>
                <w:numId w:val="10"/>
              </w:numPr>
              <w:spacing w:after="0" w:line="240" w:lineRule="auto"/>
              <w:ind w:left="605" w:hanging="270"/>
              <w:rPr>
                <w:rFonts w:asciiTheme="minorHAnsi" w:hAnsiTheme="minorHAnsi" w:cs="Calibri"/>
                <w:iCs/>
              </w:rPr>
            </w:pPr>
            <w:r>
              <w:rPr>
                <w:rFonts w:asciiTheme="minorHAnsi" w:hAnsiTheme="minorHAnsi" w:cs="Calibri"/>
                <w:iCs/>
              </w:rPr>
              <w:t>t</w:t>
            </w:r>
            <w:r w:rsidRPr="0056338E">
              <w:rPr>
                <w:rFonts w:asciiTheme="minorHAnsi" w:hAnsiTheme="minorHAnsi" w:cs="Calibri"/>
                <w:iCs/>
              </w:rPr>
              <w:t>ransactional schedules</w:t>
            </w:r>
          </w:p>
          <w:p w14:paraId="638D6C54" w14:textId="77777777" w:rsidR="00C12B45" w:rsidRPr="0056338E" w:rsidRDefault="00C12B45" w:rsidP="00C12B45">
            <w:pPr>
              <w:pStyle w:val="ListParagraph"/>
              <w:numPr>
                <w:ilvl w:val="0"/>
                <w:numId w:val="10"/>
              </w:numPr>
              <w:spacing w:after="0" w:line="240" w:lineRule="auto"/>
              <w:ind w:left="605" w:hanging="270"/>
              <w:rPr>
                <w:rFonts w:asciiTheme="minorHAnsi" w:hAnsiTheme="minorHAnsi" w:cs="Calibri"/>
                <w:iCs/>
              </w:rPr>
            </w:pPr>
            <w:r>
              <w:rPr>
                <w:rFonts w:asciiTheme="minorHAnsi" w:hAnsiTheme="minorHAnsi" w:cs="Calibri"/>
                <w:iCs/>
              </w:rPr>
              <w:t>t</w:t>
            </w:r>
            <w:r w:rsidRPr="0056338E">
              <w:rPr>
                <w:rFonts w:asciiTheme="minorHAnsi" w:hAnsiTheme="minorHAnsi" w:cs="Calibri"/>
                <w:iCs/>
              </w:rPr>
              <w:t>itles</w:t>
            </w:r>
          </w:p>
          <w:p w14:paraId="4381B725" w14:textId="77777777" w:rsidR="00C12B45" w:rsidRPr="0056338E" w:rsidRDefault="00C12B45" w:rsidP="00C12B45">
            <w:pPr>
              <w:pStyle w:val="ListParagraph"/>
              <w:numPr>
                <w:ilvl w:val="0"/>
                <w:numId w:val="10"/>
              </w:numPr>
              <w:spacing w:after="0" w:line="240" w:lineRule="auto"/>
              <w:ind w:left="605" w:hanging="270"/>
              <w:rPr>
                <w:rFonts w:asciiTheme="minorHAnsi" w:hAnsiTheme="minorHAnsi" w:cs="Calibri"/>
                <w:iCs/>
              </w:rPr>
            </w:pPr>
            <w:r>
              <w:rPr>
                <w:rFonts w:asciiTheme="minorHAnsi" w:hAnsiTheme="minorHAnsi" w:cs="Calibri"/>
                <w:iCs/>
              </w:rPr>
              <w:t>t</w:t>
            </w:r>
            <w:r w:rsidRPr="0056338E">
              <w:rPr>
                <w:rFonts w:asciiTheme="minorHAnsi" w:hAnsiTheme="minorHAnsi" w:cs="Calibri"/>
                <w:iCs/>
              </w:rPr>
              <w:t xml:space="preserve">ransfer, </w:t>
            </w:r>
            <w:proofErr w:type="gramStart"/>
            <w:r w:rsidRPr="0056338E">
              <w:rPr>
                <w:rFonts w:asciiTheme="minorHAnsi" w:hAnsiTheme="minorHAnsi" w:cs="Calibri"/>
                <w:iCs/>
              </w:rPr>
              <w:t>acceptance</w:t>
            </w:r>
            <w:proofErr w:type="gramEnd"/>
            <w:r w:rsidRPr="0056338E">
              <w:rPr>
                <w:rFonts w:asciiTheme="minorHAnsi" w:hAnsiTheme="minorHAnsi" w:cs="Calibri"/>
                <w:iCs/>
              </w:rPr>
              <w:t xml:space="preserve"> and inspection records</w:t>
            </w:r>
          </w:p>
          <w:p w14:paraId="625BDE1B" w14:textId="77777777" w:rsidR="00C12B45" w:rsidRPr="0056338E" w:rsidRDefault="00C12B45" w:rsidP="00C12B45">
            <w:pPr>
              <w:numPr>
                <w:ilvl w:val="0"/>
                <w:numId w:val="9"/>
              </w:numPr>
              <w:tabs>
                <w:tab w:val="left" w:pos="360"/>
              </w:tabs>
              <w:spacing w:after="0" w:line="240" w:lineRule="auto"/>
              <w:ind w:left="605" w:hanging="270"/>
              <w:rPr>
                <w:rFonts w:asciiTheme="minorHAnsi" w:hAnsiTheme="minorHAnsi" w:cs="Calibri"/>
              </w:rPr>
            </w:pPr>
            <w:r>
              <w:rPr>
                <w:rFonts w:asciiTheme="minorHAnsi" w:hAnsiTheme="minorHAnsi" w:cs="Calibri"/>
                <w:iCs/>
              </w:rPr>
              <w:t>a</w:t>
            </w:r>
            <w:r w:rsidRPr="0056338E">
              <w:rPr>
                <w:rFonts w:asciiTheme="minorHAnsi" w:hAnsiTheme="minorHAnsi" w:cs="Calibri"/>
                <w:iCs/>
              </w:rPr>
              <w:t>sset retirement, excess and disposal records</w:t>
            </w:r>
            <w:r w:rsidRPr="0056338E">
              <w:rPr>
                <w:rFonts w:asciiTheme="minorHAnsi" w:hAnsiTheme="minorHAnsi" w:cs="Calibri"/>
              </w:rPr>
              <w:t xml:space="preserve"> </w:t>
            </w:r>
          </w:p>
          <w:p w14:paraId="79649F93" w14:textId="77777777" w:rsidR="00C12B45" w:rsidRPr="0056338E" w:rsidRDefault="00C12B45" w:rsidP="00C12B45">
            <w:pPr>
              <w:numPr>
                <w:ilvl w:val="0"/>
                <w:numId w:val="9"/>
              </w:numPr>
              <w:tabs>
                <w:tab w:val="left" w:pos="360"/>
              </w:tabs>
              <w:spacing w:after="0" w:line="240" w:lineRule="auto"/>
              <w:ind w:left="605" w:hanging="270"/>
              <w:rPr>
                <w:rFonts w:asciiTheme="minorHAnsi" w:hAnsiTheme="minorHAnsi" w:cs="Calibri"/>
              </w:rPr>
            </w:pPr>
            <w:r>
              <w:rPr>
                <w:rFonts w:asciiTheme="minorHAnsi" w:hAnsiTheme="minorHAnsi" w:cs="Calibri"/>
              </w:rPr>
              <w:t>p</w:t>
            </w:r>
            <w:r w:rsidRPr="0056338E">
              <w:rPr>
                <w:rFonts w:asciiTheme="minorHAnsi" w:hAnsiTheme="minorHAnsi" w:cs="Calibri"/>
              </w:rPr>
              <w:t>lant account cards and ledgers pertaining to structures</w:t>
            </w:r>
          </w:p>
          <w:p w14:paraId="244ACE94" w14:textId="77777777" w:rsidR="00C12B45" w:rsidRPr="0056338E" w:rsidRDefault="00C12B45" w:rsidP="00C12B45">
            <w:pPr>
              <w:pStyle w:val="ListParagraph"/>
              <w:numPr>
                <w:ilvl w:val="0"/>
                <w:numId w:val="10"/>
              </w:numPr>
              <w:spacing w:after="0" w:line="240" w:lineRule="auto"/>
              <w:ind w:left="605" w:hanging="270"/>
              <w:rPr>
                <w:rFonts w:asciiTheme="minorHAnsi" w:hAnsiTheme="minorHAnsi" w:cs="Calibri"/>
              </w:rPr>
            </w:pPr>
            <w:r>
              <w:rPr>
                <w:rFonts w:asciiTheme="minorHAnsi" w:hAnsiTheme="minorHAnsi" w:cs="Calibri"/>
                <w:iCs/>
              </w:rPr>
              <w:lastRenderedPageBreak/>
              <w:t>c</w:t>
            </w:r>
            <w:r w:rsidRPr="0056338E">
              <w:rPr>
                <w:rFonts w:asciiTheme="minorHAnsi" w:hAnsiTheme="minorHAnsi" w:cs="Calibri"/>
                <w:iCs/>
              </w:rPr>
              <w:t>orrespondence and work papers</w:t>
            </w:r>
          </w:p>
          <w:p w14:paraId="64E3C720" w14:textId="77777777" w:rsidR="00C12B45" w:rsidRPr="0056338E" w:rsidRDefault="00C12B45" w:rsidP="00C12B45">
            <w:pPr>
              <w:spacing w:after="0" w:line="240" w:lineRule="auto"/>
              <w:rPr>
                <w:rFonts w:asciiTheme="minorHAnsi" w:hAnsiTheme="minorHAnsi" w:cs="Calibri"/>
              </w:rPr>
            </w:pPr>
          </w:p>
          <w:p w14:paraId="115AFBC8" w14:textId="77777777" w:rsidR="00C12B45" w:rsidRPr="0056338E" w:rsidRDefault="00C12B45" w:rsidP="00BC26EC">
            <w:pPr>
              <w:spacing w:after="0" w:line="240" w:lineRule="auto"/>
              <w:ind w:left="335"/>
              <w:rPr>
                <w:rFonts w:asciiTheme="minorHAnsi" w:hAnsiTheme="minorHAnsi" w:cs="Calibri"/>
              </w:rPr>
            </w:pPr>
            <w:r w:rsidRPr="0056338E">
              <w:rPr>
                <w:rFonts w:asciiTheme="minorHAnsi" w:hAnsiTheme="minorHAnsi" w:cs="Calibri"/>
                <w:b/>
              </w:rPr>
              <w:t>Exclusion</w:t>
            </w:r>
            <w:r w:rsidRPr="0056338E">
              <w:rPr>
                <w:rFonts w:asciiTheme="minorHAnsi" w:hAnsiTheme="minorHAnsi" w:cs="Calibri"/>
              </w:rPr>
              <w:t>:  Records concerning a historically significant structure or other stewardship assets (for instance, the structure appears on the National Register of Historic Places), are not authorized for disposal.  Agencies must submit a records schedule to NARA to cover these records or apply an existing schedule.</w:t>
            </w:r>
          </w:p>
        </w:tc>
        <w:tc>
          <w:tcPr>
            <w:tcW w:w="1890" w:type="dxa"/>
          </w:tcPr>
          <w:p w14:paraId="6A79E35F" w14:textId="77777777" w:rsidR="00C12B45" w:rsidRPr="0056338E" w:rsidRDefault="00C12B45" w:rsidP="00C12B45">
            <w:pPr>
              <w:spacing w:after="0" w:line="240" w:lineRule="auto"/>
              <w:rPr>
                <w:rFonts w:asciiTheme="minorHAnsi" w:hAnsiTheme="minorHAnsi" w:cs="Calibri"/>
                <w:color w:val="392D1C"/>
              </w:rPr>
            </w:pPr>
            <w:r w:rsidRPr="0056338E">
              <w:rPr>
                <w:rFonts w:asciiTheme="minorHAnsi" w:hAnsiTheme="minorHAnsi" w:cs="Calibri"/>
                <w:b/>
              </w:rPr>
              <w:lastRenderedPageBreak/>
              <w:t>Temporary</w:t>
            </w:r>
            <w:r w:rsidRPr="0056338E">
              <w:rPr>
                <w:rFonts w:asciiTheme="minorHAnsi" w:hAnsiTheme="minorHAnsi" w:cs="Calibri"/>
              </w:rPr>
              <w:t xml:space="preserve">.  Destroy </w:t>
            </w:r>
            <w:r w:rsidRPr="0056338E">
              <w:rPr>
                <w:rFonts w:asciiTheme="minorHAnsi" w:hAnsiTheme="minorHAnsi" w:cs="Calibri"/>
                <w:iCs/>
              </w:rPr>
              <w:t xml:space="preserve">2 years after asset is disposed of and/or removed from agency’s financial statement, </w:t>
            </w:r>
            <w:r w:rsidRPr="0056338E">
              <w:rPr>
                <w:rFonts w:asciiTheme="minorHAnsi" w:hAnsiTheme="minorHAnsi" w:cs="Calibri"/>
              </w:rPr>
              <w:t>but longer retention is authorized if required for business use.</w:t>
            </w:r>
          </w:p>
        </w:tc>
        <w:tc>
          <w:tcPr>
            <w:tcW w:w="1260" w:type="dxa"/>
          </w:tcPr>
          <w:p w14:paraId="6114AACC"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rPr>
              <w:t>DAA-GRS-2013-0003-0004</w:t>
            </w:r>
          </w:p>
        </w:tc>
      </w:tr>
      <w:tr w:rsidR="00C12B45" w:rsidRPr="0056338E" w14:paraId="288D5AC8" w14:textId="77777777" w:rsidTr="00A47EEE">
        <w:tc>
          <w:tcPr>
            <w:tcW w:w="727" w:type="dxa"/>
          </w:tcPr>
          <w:p w14:paraId="3D918992" w14:textId="77777777" w:rsidR="00C12B45" w:rsidRPr="0056338E" w:rsidRDefault="00C12B45" w:rsidP="00C12B45">
            <w:pPr>
              <w:spacing w:after="0" w:line="240" w:lineRule="auto"/>
              <w:jc w:val="center"/>
              <w:rPr>
                <w:rFonts w:asciiTheme="minorHAnsi" w:hAnsiTheme="minorHAnsi" w:cs="Calibri"/>
              </w:rPr>
            </w:pPr>
            <w:r w:rsidRPr="0056338E">
              <w:rPr>
                <w:rFonts w:asciiTheme="minorHAnsi" w:hAnsiTheme="minorHAnsi" w:cs="Calibri"/>
              </w:rPr>
              <w:t>040</w:t>
            </w:r>
          </w:p>
        </w:tc>
        <w:tc>
          <w:tcPr>
            <w:tcW w:w="10620" w:type="dxa"/>
            <w:gridSpan w:val="3"/>
          </w:tcPr>
          <w:p w14:paraId="13576E33" w14:textId="77777777" w:rsidR="00C12B45" w:rsidRPr="0056338E" w:rsidRDefault="00C12B45" w:rsidP="00C12B45">
            <w:pPr>
              <w:pStyle w:val="ListParagraph"/>
              <w:tabs>
                <w:tab w:val="left" w:pos="360"/>
              </w:tabs>
              <w:spacing w:after="0" w:line="240" w:lineRule="auto"/>
              <w:ind w:left="360" w:hanging="360"/>
              <w:rPr>
                <w:rFonts w:asciiTheme="minorHAnsi" w:hAnsiTheme="minorHAnsi" w:cs="Calibri"/>
                <w:b/>
              </w:rPr>
            </w:pPr>
            <w:r w:rsidRPr="0056338E">
              <w:rPr>
                <w:rFonts w:asciiTheme="minorHAnsi" w:hAnsiTheme="minorHAnsi" w:cs="Calibri"/>
                <w:b/>
              </w:rPr>
              <w:t>Cost accounting for stores, inventory, and materials.</w:t>
            </w:r>
          </w:p>
          <w:p w14:paraId="1C2B4AEF" w14:textId="77777777" w:rsidR="00C12B45" w:rsidRPr="0056338E" w:rsidRDefault="00C12B45" w:rsidP="00C12B45">
            <w:pPr>
              <w:pStyle w:val="ListParagraph"/>
              <w:tabs>
                <w:tab w:val="left" w:pos="360"/>
              </w:tabs>
              <w:spacing w:after="0" w:line="240" w:lineRule="auto"/>
              <w:ind w:left="360" w:hanging="25"/>
              <w:rPr>
                <w:rFonts w:asciiTheme="minorHAnsi" w:hAnsiTheme="minorHAnsi" w:cs="Calibri"/>
              </w:rPr>
            </w:pPr>
            <w:r w:rsidRPr="0056338E">
              <w:rPr>
                <w:rFonts w:asciiTheme="minorHAnsi" w:hAnsiTheme="minorHAnsi" w:cs="Calibri"/>
              </w:rPr>
              <w:tab/>
              <w:t xml:space="preserve">Records providing accountability for receipt and custody of materials and showing accumulated cost data, including the direct and indirect costs of production, administration, and performance of program functions of the </w:t>
            </w:r>
            <w:proofErr w:type="gramStart"/>
            <w:r w:rsidRPr="0056338E">
              <w:rPr>
                <w:rFonts w:asciiTheme="minorHAnsi" w:hAnsiTheme="minorHAnsi" w:cs="Calibri"/>
              </w:rPr>
              <w:t>agency;</w:t>
            </w:r>
            <w:proofErr w:type="gramEnd"/>
            <w:r w:rsidRPr="0056338E">
              <w:rPr>
                <w:rFonts w:asciiTheme="minorHAnsi" w:hAnsiTheme="minorHAnsi" w:cs="Calibri"/>
              </w:rPr>
              <w:t xml:space="preserve"> such as:  </w:t>
            </w:r>
          </w:p>
          <w:p w14:paraId="43E67356" w14:textId="77777777" w:rsidR="00C12B45" w:rsidRPr="0056338E" w:rsidRDefault="00C12B45" w:rsidP="00C12B45">
            <w:pPr>
              <w:numPr>
                <w:ilvl w:val="0"/>
                <w:numId w:val="9"/>
              </w:numPr>
              <w:tabs>
                <w:tab w:val="left" w:pos="605"/>
              </w:tabs>
              <w:spacing w:after="0" w:line="240" w:lineRule="auto"/>
              <w:contextualSpacing/>
              <w:rPr>
                <w:rFonts w:asciiTheme="minorHAnsi" w:hAnsiTheme="minorHAnsi" w:cs="Calibri"/>
              </w:rPr>
            </w:pPr>
            <w:r>
              <w:rPr>
                <w:rFonts w:asciiTheme="minorHAnsi" w:hAnsiTheme="minorHAnsi" w:cs="Calibri"/>
              </w:rPr>
              <w:t>i</w:t>
            </w:r>
            <w:r w:rsidRPr="0056338E">
              <w:rPr>
                <w:rFonts w:asciiTheme="minorHAnsi" w:hAnsiTheme="minorHAnsi" w:cs="Calibri"/>
              </w:rPr>
              <w:t>nvoices or equivalent papers used for inventory accounting purposes</w:t>
            </w:r>
          </w:p>
          <w:p w14:paraId="7AE39323" w14:textId="77777777" w:rsidR="00C12B45" w:rsidRPr="0056338E" w:rsidRDefault="00C12B45" w:rsidP="00C12B45">
            <w:pPr>
              <w:numPr>
                <w:ilvl w:val="0"/>
                <w:numId w:val="9"/>
              </w:numPr>
              <w:tabs>
                <w:tab w:val="left" w:pos="605"/>
              </w:tabs>
              <w:spacing w:after="0" w:line="240" w:lineRule="auto"/>
              <w:contextualSpacing/>
              <w:rPr>
                <w:rFonts w:asciiTheme="minorHAnsi" w:hAnsiTheme="minorHAnsi" w:cs="Calibri"/>
              </w:rPr>
            </w:pPr>
            <w:r>
              <w:rPr>
                <w:rFonts w:asciiTheme="minorHAnsi" w:hAnsiTheme="minorHAnsi" w:cs="Calibri"/>
              </w:rPr>
              <w:t>i</w:t>
            </w:r>
            <w:r w:rsidRPr="0056338E">
              <w:rPr>
                <w:rFonts w:asciiTheme="minorHAnsi" w:hAnsiTheme="minorHAnsi" w:cs="Calibri"/>
              </w:rPr>
              <w:t>nventory accounting returns and reports</w:t>
            </w:r>
          </w:p>
          <w:p w14:paraId="0790B14F" w14:textId="77777777" w:rsidR="00C12B45" w:rsidRPr="0056338E" w:rsidRDefault="00C12B45" w:rsidP="00C12B45">
            <w:pPr>
              <w:numPr>
                <w:ilvl w:val="0"/>
                <w:numId w:val="9"/>
              </w:numPr>
              <w:tabs>
                <w:tab w:val="left" w:pos="605"/>
              </w:tabs>
              <w:spacing w:after="0" w:line="240" w:lineRule="auto"/>
              <w:contextualSpacing/>
              <w:rPr>
                <w:rFonts w:asciiTheme="minorHAnsi" w:hAnsiTheme="minorHAnsi" w:cs="Calibri"/>
              </w:rPr>
            </w:pPr>
            <w:r>
              <w:rPr>
                <w:rFonts w:asciiTheme="minorHAnsi" w:hAnsiTheme="minorHAnsi" w:cs="Calibri"/>
              </w:rPr>
              <w:t>w</w:t>
            </w:r>
            <w:r w:rsidRPr="0056338E">
              <w:rPr>
                <w:rFonts w:asciiTheme="minorHAnsi" w:hAnsiTheme="minorHAnsi" w:cs="Calibri"/>
              </w:rPr>
              <w:t>orking files used in accumulating inventory accounting data</w:t>
            </w:r>
          </w:p>
          <w:p w14:paraId="54EEE676" w14:textId="77777777" w:rsidR="00C12B45" w:rsidRPr="0056338E" w:rsidRDefault="00C12B45" w:rsidP="00C12B45">
            <w:pPr>
              <w:numPr>
                <w:ilvl w:val="0"/>
                <w:numId w:val="9"/>
              </w:numPr>
              <w:tabs>
                <w:tab w:val="left" w:pos="605"/>
              </w:tabs>
              <w:spacing w:after="0" w:line="240" w:lineRule="auto"/>
              <w:contextualSpacing/>
              <w:rPr>
                <w:rFonts w:asciiTheme="minorHAnsi" w:hAnsiTheme="minorHAnsi" w:cs="Calibri"/>
              </w:rPr>
            </w:pPr>
            <w:r>
              <w:rPr>
                <w:rFonts w:asciiTheme="minorHAnsi" w:hAnsiTheme="minorHAnsi" w:cs="Calibri"/>
              </w:rPr>
              <w:t>p</w:t>
            </w:r>
            <w:r w:rsidRPr="0056338E">
              <w:rPr>
                <w:rFonts w:asciiTheme="minorHAnsi" w:hAnsiTheme="minorHAnsi" w:cs="Calibri"/>
              </w:rPr>
              <w:t>lant account cards and ledgers, other than those pertaining to structures</w:t>
            </w:r>
          </w:p>
          <w:p w14:paraId="6C0C10A2" w14:textId="77777777" w:rsidR="00C12B45" w:rsidRPr="0056338E" w:rsidRDefault="00C12B45" w:rsidP="00C12B45">
            <w:pPr>
              <w:numPr>
                <w:ilvl w:val="0"/>
                <w:numId w:val="9"/>
              </w:numPr>
              <w:tabs>
                <w:tab w:val="left" w:pos="605"/>
              </w:tabs>
              <w:spacing w:after="0" w:line="240" w:lineRule="auto"/>
              <w:contextualSpacing/>
              <w:rPr>
                <w:rFonts w:asciiTheme="minorHAnsi" w:hAnsiTheme="minorHAnsi" w:cs="Calibri"/>
              </w:rPr>
            </w:pPr>
            <w:r>
              <w:rPr>
                <w:rFonts w:asciiTheme="minorHAnsi" w:hAnsiTheme="minorHAnsi" w:cs="Calibri"/>
              </w:rPr>
              <w:t>c</w:t>
            </w:r>
            <w:r w:rsidRPr="0056338E">
              <w:rPr>
                <w:rFonts w:asciiTheme="minorHAnsi" w:hAnsiTheme="minorHAnsi" w:cs="Calibri"/>
              </w:rPr>
              <w:t>ost accounting reports and data</w:t>
            </w:r>
          </w:p>
          <w:p w14:paraId="25E719E7" w14:textId="77777777" w:rsidR="00C12B45" w:rsidRPr="0056338E" w:rsidRDefault="00C12B45" w:rsidP="00C12B45">
            <w:pPr>
              <w:pStyle w:val="ListParagraph"/>
              <w:numPr>
                <w:ilvl w:val="0"/>
                <w:numId w:val="9"/>
              </w:numPr>
              <w:tabs>
                <w:tab w:val="left" w:pos="605"/>
              </w:tabs>
              <w:spacing w:after="0" w:line="240" w:lineRule="auto"/>
              <w:rPr>
                <w:rFonts w:asciiTheme="minorHAnsi" w:hAnsiTheme="minorHAnsi" w:cs="Calibri"/>
              </w:rPr>
            </w:pPr>
            <w:r>
              <w:rPr>
                <w:rFonts w:asciiTheme="minorHAnsi" w:hAnsiTheme="minorHAnsi" w:cs="Calibri"/>
              </w:rPr>
              <w:t>d</w:t>
            </w:r>
            <w:r w:rsidRPr="0056338E">
              <w:rPr>
                <w:rFonts w:asciiTheme="minorHAnsi" w:hAnsiTheme="minorHAnsi" w:cs="Calibri"/>
              </w:rPr>
              <w:t xml:space="preserve">epreciation lists/costs </w:t>
            </w:r>
          </w:p>
          <w:p w14:paraId="2DD980EB" w14:textId="77777777" w:rsidR="00C12B45" w:rsidRPr="0056338E" w:rsidRDefault="00C12B45" w:rsidP="00C12B45">
            <w:pPr>
              <w:pStyle w:val="ListParagraph"/>
              <w:numPr>
                <w:ilvl w:val="0"/>
                <w:numId w:val="9"/>
              </w:numPr>
              <w:tabs>
                <w:tab w:val="left" w:pos="605"/>
              </w:tabs>
              <w:spacing w:after="0" w:line="240" w:lineRule="auto"/>
              <w:rPr>
                <w:rFonts w:asciiTheme="minorHAnsi" w:hAnsiTheme="minorHAnsi" w:cs="Calibri"/>
              </w:rPr>
            </w:pPr>
            <w:r>
              <w:rPr>
                <w:rFonts w:asciiTheme="minorHAnsi" w:hAnsiTheme="minorHAnsi" w:cs="Calibri"/>
              </w:rPr>
              <w:t>c</w:t>
            </w:r>
            <w:r w:rsidRPr="0056338E">
              <w:rPr>
                <w:rFonts w:asciiTheme="minorHAnsi" w:hAnsiTheme="minorHAnsi" w:cs="Calibri"/>
              </w:rPr>
              <w:t>ontractor cost reports re contractor-held-government-owned materials and parts</w:t>
            </w:r>
          </w:p>
          <w:p w14:paraId="0C339496" w14:textId="77777777" w:rsidR="00C12B45" w:rsidRPr="0056338E" w:rsidRDefault="00C12B45" w:rsidP="00C12B45">
            <w:pPr>
              <w:pStyle w:val="ListParagraph"/>
              <w:numPr>
                <w:ilvl w:val="0"/>
                <w:numId w:val="9"/>
              </w:numPr>
              <w:tabs>
                <w:tab w:val="left" w:pos="605"/>
              </w:tabs>
              <w:spacing w:after="0" w:line="240" w:lineRule="auto"/>
              <w:rPr>
                <w:rFonts w:asciiTheme="minorHAnsi" w:hAnsiTheme="minorHAnsi"/>
                <w:color w:val="000000"/>
              </w:rPr>
            </w:pPr>
            <w:r>
              <w:rPr>
                <w:rFonts w:asciiTheme="minorHAnsi" w:hAnsiTheme="minorHAnsi" w:cs="Calibri"/>
              </w:rPr>
              <w:t>r</w:t>
            </w:r>
            <w:r w:rsidRPr="0056338E">
              <w:rPr>
                <w:rFonts w:asciiTheme="minorHAnsi" w:hAnsiTheme="minorHAnsi" w:cs="Calibri"/>
              </w:rPr>
              <w:t>eceiving, inspection, and acceptance documentation</w:t>
            </w:r>
          </w:p>
        </w:tc>
        <w:tc>
          <w:tcPr>
            <w:tcW w:w="1890" w:type="dxa"/>
          </w:tcPr>
          <w:p w14:paraId="31D7F078"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b/>
              </w:rPr>
              <w:t>Temporary</w:t>
            </w:r>
            <w:r w:rsidRPr="0056338E">
              <w:rPr>
                <w:rFonts w:asciiTheme="minorHAnsi" w:hAnsiTheme="minorHAnsi" w:cs="Calibri"/>
              </w:rPr>
              <w:t xml:space="preserve">.  Destroy </w:t>
            </w:r>
            <w:r w:rsidRPr="0056338E">
              <w:rPr>
                <w:rFonts w:asciiTheme="minorHAnsi" w:hAnsiTheme="minorHAnsi" w:cs="Calibri"/>
                <w:color w:val="000000"/>
              </w:rPr>
              <w:t>when 3 years old</w:t>
            </w:r>
            <w:r w:rsidRPr="0056338E">
              <w:rPr>
                <w:rFonts w:asciiTheme="minorHAnsi" w:hAnsiTheme="minorHAnsi" w:cs="Calibri"/>
                <w:iCs/>
              </w:rPr>
              <w:t xml:space="preserve">, </w:t>
            </w:r>
            <w:r w:rsidRPr="0056338E">
              <w:rPr>
                <w:rFonts w:asciiTheme="minorHAnsi" w:hAnsiTheme="minorHAnsi" w:cs="Calibri"/>
              </w:rPr>
              <w:t>but longer retention is authorized if required for business use.</w:t>
            </w:r>
          </w:p>
        </w:tc>
        <w:tc>
          <w:tcPr>
            <w:tcW w:w="1260" w:type="dxa"/>
          </w:tcPr>
          <w:p w14:paraId="44310B5A"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rPr>
              <w:t>DAA-GRS-2013-0003-0012</w:t>
            </w:r>
          </w:p>
        </w:tc>
      </w:tr>
      <w:tr w:rsidR="00C12B45" w:rsidRPr="0056338E" w14:paraId="3AF93D70" w14:textId="77777777" w:rsidTr="00A47EEE">
        <w:tc>
          <w:tcPr>
            <w:tcW w:w="727" w:type="dxa"/>
          </w:tcPr>
          <w:p w14:paraId="51E07163" w14:textId="77777777" w:rsidR="00C12B45" w:rsidRPr="0056338E" w:rsidRDefault="00C12B45" w:rsidP="00C12B45">
            <w:pPr>
              <w:spacing w:after="0" w:line="240" w:lineRule="auto"/>
              <w:jc w:val="center"/>
              <w:rPr>
                <w:rFonts w:asciiTheme="minorHAnsi" w:hAnsiTheme="minorHAnsi" w:cs="Calibri"/>
              </w:rPr>
            </w:pPr>
            <w:r w:rsidRPr="0056338E">
              <w:rPr>
                <w:rFonts w:asciiTheme="minorHAnsi" w:hAnsiTheme="minorHAnsi" w:cs="Calibri"/>
              </w:rPr>
              <w:t>050</w:t>
            </w:r>
          </w:p>
        </w:tc>
        <w:tc>
          <w:tcPr>
            <w:tcW w:w="10620" w:type="dxa"/>
            <w:gridSpan w:val="3"/>
          </w:tcPr>
          <w:p w14:paraId="2A6ACECA"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b/>
              </w:rPr>
              <w:t>Construction contractors’ payroll files</w:t>
            </w:r>
            <w:r w:rsidRPr="0056338E">
              <w:rPr>
                <w:rFonts w:asciiTheme="minorHAnsi" w:hAnsiTheme="minorHAnsi" w:cs="Calibri"/>
              </w:rPr>
              <w:t>.</w:t>
            </w:r>
          </w:p>
          <w:p w14:paraId="5E8BDD78" w14:textId="77777777" w:rsidR="00C12B45" w:rsidRPr="0056338E" w:rsidRDefault="00C12B45" w:rsidP="00C12B45">
            <w:pPr>
              <w:spacing w:after="0" w:line="240" w:lineRule="auto"/>
              <w:ind w:left="342"/>
              <w:rPr>
                <w:rFonts w:asciiTheme="minorHAnsi" w:hAnsiTheme="minorHAnsi" w:cs="Calibri"/>
              </w:rPr>
            </w:pPr>
            <w:r w:rsidRPr="0056338E">
              <w:rPr>
                <w:rFonts w:asciiTheme="minorHAnsi" w:hAnsiTheme="minorHAnsi" w:cs="Calibri"/>
              </w:rPr>
              <w:t>Agency copy of contractors’ payrolls for construction contracts submitted in accordance with Department of Labor regulations, with related certifications, anti-kickback and other affidavits, and other related papers</w:t>
            </w:r>
            <w:r w:rsidRPr="0056338E">
              <w:rPr>
                <w:rFonts w:asciiTheme="minorHAnsi" w:hAnsiTheme="minorHAnsi" w:cs="Calibri"/>
                <w:color w:val="000000" w:themeColor="text1"/>
              </w:rPr>
              <w:t>.</w:t>
            </w:r>
            <w:r w:rsidRPr="0056338E">
              <w:rPr>
                <w:rFonts w:asciiTheme="minorHAnsi" w:hAnsiTheme="minorHAnsi" w:cs="Calibri"/>
              </w:rPr>
              <w:t xml:space="preserve"> </w:t>
            </w:r>
          </w:p>
        </w:tc>
        <w:tc>
          <w:tcPr>
            <w:tcW w:w="1890" w:type="dxa"/>
          </w:tcPr>
          <w:p w14:paraId="36BC2660"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b/>
              </w:rPr>
              <w:t>Temporary</w:t>
            </w:r>
            <w:r w:rsidRPr="0056338E">
              <w:rPr>
                <w:rFonts w:asciiTheme="minorHAnsi" w:hAnsiTheme="minorHAnsi" w:cs="Calibri"/>
              </w:rPr>
              <w:t>.  Destroy 3 years after completion of contract or conclusion of contract being subject to an enforcement action</w:t>
            </w:r>
            <w:r w:rsidRPr="0056338E">
              <w:rPr>
                <w:rFonts w:asciiTheme="minorHAnsi" w:hAnsiTheme="minorHAnsi" w:cs="Calibri"/>
                <w:iCs/>
              </w:rPr>
              <w:t xml:space="preserve">, </w:t>
            </w:r>
            <w:r w:rsidRPr="0056338E">
              <w:rPr>
                <w:rFonts w:asciiTheme="minorHAnsi" w:hAnsiTheme="minorHAnsi" w:cs="Calibri"/>
              </w:rPr>
              <w:t xml:space="preserve">but longer retention is authorized if required for business use. </w:t>
            </w:r>
          </w:p>
        </w:tc>
        <w:tc>
          <w:tcPr>
            <w:tcW w:w="1260" w:type="dxa"/>
          </w:tcPr>
          <w:p w14:paraId="6B190C49" w14:textId="77777777" w:rsidR="00C12B45" w:rsidRPr="0056338E" w:rsidRDefault="00C12B45" w:rsidP="00C12B45">
            <w:pPr>
              <w:spacing w:after="0" w:line="240" w:lineRule="auto"/>
              <w:rPr>
                <w:rFonts w:asciiTheme="minorHAnsi" w:hAnsiTheme="minorHAnsi" w:cs="Calibri"/>
              </w:rPr>
            </w:pPr>
            <w:r w:rsidRPr="0056338E">
              <w:rPr>
                <w:rFonts w:asciiTheme="minorHAnsi" w:hAnsiTheme="minorHAnsi" w:cs="Calibri"/>
              </w:rPr>
              <w:t>DAA-GRS-2013-0003-0003</w:t>
            </w:r>
          </w:p>
        </w:tc>
      </w:tr>
      <w:tr w:rsidR="00C12B45" w:rsidRPr="0056338E" w14:paraId="13870A80" w14:textId="77777777" w:rsidTr="00A47EEE">
        <w:tc>
          <w:tcPr>
            <w:tcW w:w="727" w:type="dxa"/>
          </w:tcPr>
          <w:p w14:paraId="06B6C157" w14:textId="77777777" w:rsidR="00C12B45" w:rsidRPr="004417F8" w:rsidRDefault="00C12B45" w:rsidP="00C12B45">
            <w:pPr>
              <w:spacing w:after="0" w:line="240" w:lineRule="auto"/>
              <w:jc w:val="center"/>
              <w:rPr>
                <w:rFonts w:asciiTheme="minorHAnsi" w:hAnsiTheme="minorHAnsi"/>
              </w:rPr>
            </w:pPr>
            <w:r>
              <w:rPr>
                <w:rFonts w:asciiTheme="minorHAnsi" w:hAnsiTheme="minorHAnsi"/>
              </w:rPr>
              <w:lastRenderedPageBreak/>
              <w:t>060</w:t>
            </w:r>
          </w:p>
        </w:tc>
        <w:tc>
          <w:tcPr>
            <w:tcW w:w="10620" w:type="dxa"/>
            <w:gridSpan w:val="3"/>
          </w:tcPr>
          <w:p w14:paraId="2C23DD4E" w14:textId="77777777" w:rsidR="00C12B45" w:rsidRPr="00853FC3" w:rsidRDefault="00C12B45" w:rsidP="00C12B45">
            <w:pPr>
              <w:spacing w:after="0" w:line="240" w:lineRule="auto"/>
              <w:rPr>
                <w:rFonts w:asciiTheme="minorHAnsi" w:hAnsiTheme="minorHAnsi"/>
                <w:u w:val="single"/>
              </w:rPr>
            </w:pPr>
            <w:r w:rsidRPr="00853FC3">
              <w:rPr>
                <w:rFonts w:asciiTheme="minorHAnsi" w:hAnsiTheme="minorHAnsi"/>
                <w:b/>
              </w:rPr>
              <w:t>Contract appeals case files</w:t>
            </w:r>
            <w:r w:rsidRPr="00853FC3">
              <w:rPr>
                <w:rFonts w:asciiTheme="minorHAnsi" w:hAnsiTheme="minorHAnsi"/>
              </w:rPr>
              <w:t>.</w:t>
            </w:r>
          </w:p>
          <w:p w14:paraId="76EDC3BD" w14:textId="77777777" w:rsidR="00C12B45" w:rsidRPr="00853FC3" w:rsidRDefault="00C12B45" w:rsidP="00C12B45">
            <w:pPr>
              <w:spacing w:after="0" w:line="240" w:lineRule="auto"/>
              <w:ind w:left="342"/>
            </w:pPr>
            <w:r w:rsidRPr="00853FC3">
              <w:t>Records of contract appeals arising under the Contracts Dispute Act.  Includes:</w:t>
            </w:r>
          </w:p>
          <w:p w14:paraId="1A7B11AA" w14:textId="77777777" w:rsidR="00C12B45" w:rsidRPr="00853FC3" w:rsidRDefault="00C12B45" w:rsidP="00C12B45">
            <w:pPr>
              <w:pStyle w:val="ListParagraph"/>
              <w:numPr>
                <w:ilvl w:val="0"/>
                <w:numId w:val="20"/>
              </w:numPr>
              <w:spacing w:after="0" w:line="240" w:lineRule="auto"/>
              <w:ind w:left="605" w:hanging="245"/>
            </w:pPr>
            <w:r w:rsidRPr="00853FC3">
              <w:t xml:space="preserve">notice of appeal </w:t>
            </w:r>
          </w:p>
          <w:p w14:paraId="7E615EBA" w14:textId="77777777" w:rsidR="00C12B45" w:rsidRPr="00853FC3" w:rsidRDefault="00C12B45" w:rsidP="00C12B45">
            <w:pPr>
              <w:pStyle w:val="ListParagraph"/>
              <w:numPr>
                <w:ilvl w:val="0"/>
                <w:numId w:val="20"/>
              </w:numPr>
              <w:spacing w:after="0" w:line="240" w:lineRule="auto"/>
              <w:ind w:left="605" w:hanging="245"/>
            </w:pPr>
            <w:r w:rsidRPr="00853FC3">
              <w:t>acknowledgment of notice</w:t>
            </w:r>
          </w:p>
          <w:p w14:paraId="787BF9B5" w14:textId="77777777" w:rsidR="00C12B45" w:rsidRPr="00853FC3" w:rsidRDefault="00C12B45" w:rsidP="00C12B45">
            <w:pPr>
              <w:pStyle w:val="ListParagraph"/>
              <w:numPr>
                <w:ilvl w:val="0"/>
                <w:numId w:val="20"/>
              </w:numPr>
              <w:spacing w:after="0" w:line="240" w:lineRule="auto"/>
              <w:ind w:left="605" w:hanging="245"/>
            </w:pPr>
            <w:r w:rsidRPr="00853FC3">
              <w:t>correspondence</w:t>
            </w:r>
          </w:p>
          <w:p w14:paraId="47278393" w14:textId="77777777" w:rsidR="00C12B45" w:rsidRPr="00853FC3" w:rsidRDefault="00C12B45" w:rsidP="00C12B45">
            <w:pPr>
              <w:pStyle w:val="ListParagraph"/>
              <w:numPr>
                <w:ilvl w:val="0"/>
                <w:numId w:val="20"/>
              </w:numPr>
              <w:spacing w:after="0" w:line="240" w:lineRule="auto"/>
              <w:ind w:left="605" w:hanging="245"/>
            </w:pPr>
            <w:r w:rsidRPr="00853FC3">
              <w:t>copies of contracts, plans, specifications, exhibits, change orders, and amendments</w:t>
            </w:r>
          </w:p>
          <w:p w14:paraId="51EF6AC1" w14:textId="77777777" w:rsidR="00C12B45" w:rsidRPr="00853FC3" w:rsidRDefault="00C12B45" w:rsidP="00C12B45">
            <w:pPr>
              <w:pStyle w:val="ListParagraph"/>
              <w:numPr>
                <w:ilvl w:val="0"/>
                <w:numId w:val="20"/>
              </w:numPr>
              <w:spacing w:after="0" w:line="240" w:lineRule="auto"/>
              <w:ind w:left="605" w:hanging="245"/>
            </w:pPr>
            <w:r w:rsidRPr="00853FC3">
              <w:t>hearing transcripts</w:t>
            </w:r>
          </w:p>
          <w:p w14:paraId="68DF4B79" w14:textId="77777777" w:rsidR="00C12B45" w:rsidRPr="00853FC3" w:rsidRDefault="00C12B45" w:rsidP="00C12B45">
            <w:pPr>
              <w:pStyle w:val="ListParagraph"/>
              <w:numPr>
                <w:ilvl w:val="0"/>
                <w:numId w:val="20"/>
              </w:numPr>
              <w:spacing w:after="0" w:line="240" w:lineRule="auto"/>
              <w:ind w:left="605" w:hanging="245"/>
            </w:pPr>
            <w:r w:rsidRPr="00853FC3">
              <w:t xml:space="preserve">documents received from concerned parties </w:t>
            </w:r>
          </w:p>
          <w:p w14:paraId="595F473C" w14:textId="77777777" w:rsidR="00C12B45" w:rsidRPr="00853FC3" w:rsidRDefault="00C12B45" w:rsidP="00C12B45">
            <w:pPr>
              <w:pStyle w:val="ListParagraph"/>
              <w:numPr>
                <w:ilvl w:val="0"/>
                <w:numId w:val="20"/>
              </w:numPr>
              <w:spacing w:after="0" w:line="240" w:lineRule="auto"/>
              <w:ind w:left="605" w:hanging="245"/>
            </w:pPr>
            <w:r w:rsidRPr="00853FC3">
              <w:t>final decisions</w:t>
            </w:r>
          </w:p>
          <w:p w14:paraId="373CA050" w14:textId="77777777" w:rsidR="00C12B45" w:rsidRPr="000864F3" w:rsidRDefault="00C12B45" w:rsidP="00C12B45">
            <w:pPr>
              <w:pStyle w:val="ListParagraph"/>
              <w:numPr>
                <w:ilvl w:val="0"/>
                <w:numId w:val="20"/>
              </w:numPr>
              <w:spacing w:after="0" w:line="240" w:lineRule="auto"/>
              <w:ind w:left="605" w:hanging="245"/>
              <w:rPr>
                <w:rFonts w:asciiTheme="minorHAnsi" w:hAnsiTheme="minorHAnsi"/>
              </w:rPr>
            </w:pPr>
            <w:r w:rsidRPr="00853FC3">
              <w:t>other related papers</w:t>
            </w:r>
          </w:p>
        </w:tc>
        <w:tc>
          <w:tcPr>
            <w:tcW w:w="1890" w:type="dxa"/>
          </w:tcPr>
          <w:p w14:paraId="2BDEFCE6" w14:textId="77777777" w:rsidR="00C12B45" w:rsidRPr="004417F8" w:rsidRDefault="00C12B45" w:rsidP="00C12B45">
            <w:pPr>
              <w:spacing w:after="0" w:line="240" w:lineRule="auto"/>
              <w:contextualSpacing/>
              <w:rPr>
                <w:rFonts w:asciiTheme="minorHAnsi" w:hAnsiTheme="minorHAnsi"/>
              </w:rPr>
            </w:pPr>
            <w:r w:rsidRPr="0073286E">
              <w:rPr>
                <w:rFonts w:asciiTheme="minorHAnsi" w:hAnsiTheme="minorHAnsi"/>
                <w:b/>
              </w:rPr>
              <w:t>Temporary</w:t>
            </w:r>
            <w:r w:rsidRPr="0073286E">
              <w:rPr>
                <w:rFonts w:asciiTheme="minorHAnsi" w:hAnsiTheme="minorHAnsi"/>
              </w:rPr>
              <w:t xml:space="preserve">.  </w:t>
            </w:r>
            <w:r w:rsidRPr="0073286E">
              <w:t xml:space="preserve">Destroy 1 year after final </w:t>
            </w:r>
            <w:r>
              <w:t>resolution</w:t>
            </w:r>
            <w:r w:rsidRPr="0073286E">
              <w:t>, but longer retention is authorized if required for</w:t>
            </w:r>
            <w:r>
              <w:t xml:space="preserve"> business use.</w:t>
            </w:r>
          </w:p>
        </w:tc>
        <w:tc>
          <w:tcPr>
            <w:tcW w:w="1260" w:type="dxa"/>
          </w:tcPr>
          <w:p w14:paraId="2498C33F" w14:textId="77777777" w:rsidR="00C12B45" w:rsidRPr="004417F8" w:rsidRDefault="00C12B45" w:rsidP="00C12B45">
            <w:pPr>
              <w:spacing w:after="0" w:line="240" w:lineRule="auto"/>
              <w:rPr>
                <w:rFonts w:asciiTheme="minorHAnsi" w:hAnsiTheme="minorHAnsi" w:cstheme="minorHAnsi"/>
              </w:rPr>
            </w:pPr>
            <w:r>
              <w:rPr>
                <w:rFonts w:asciiTheme="minorHAnsi" w:hAnsiTheme="minorHAnsi"/>
              </w:rPr>
              <w:t>DAA-GRS-2016-0001-</w:t>
            </w:r>
            <w:r w:rsidRPr="00392B00">
              <w:rPr>
                <w:rFonts w:asciiTheme="minorHAnsi" w:hAnsiTheme="minorHAnsi"/>
              </w:rPr>
              <w:t>000</w:t>
            </w:r>
            <w:r>
              <w:rPr>
                <w:rFonts w:asciiTheme="minorHAnsi" w:hAnsiTheme="minorHAnsi"/>
              </w:rPr>
              <w:t>3</w:t>
            </w:r>
          </w:p>
        </w:tc>
      </w:tr>
      <w:tr w:rsidR="00C12B45" w:rsidRPr="0056338E" w14:paraId="2F74A11F" w14:textId="77777777" w:rsidTr="00A47EEE">
        <w:tc>
          <w:tcPr>
            <w:tcW w:w="727" w:type="dxa"/>
          </w:tcPr>
          <w:p w14:paraId="3EAA9655" w14:textId="77777777" w:rsidR="00C12B45" w:rsidRDefault="00C12B45" w:rsidP="00C12B45">
            <w:pPr>
              <w:spacing w:after="0" w:line="240" w:lineRule="auto"/>
              <w:jc w:val="center"/>
              <w:rPr>
                <w:rFonts w:asciiTheme="minorHAnsi" w:hAnsiTheme="minorHAnsi"/>
              </w:rPr>
            </w:pPr>
            <w:r>
              <w:rPr>
                <w:rFonts w:asciiTheme="minorHAnsi" w:hAnsiTheme="minorHAnsi"/>
              </w:rPr>
              <w:t>070</w:t>
            </w:r>
          </w:p>
        </w:tc>
        <w:tc>
          <w:tcPr>
            <w:tcW w:w="5220" w:type="dxa"/>
            <w:vMerge w:val="restart"/>
          </w:tcPr>
          <w:p w14:paraId="31561FCF" w14:textId="77777777" w:rsidR="00C12B45" w:rsidRPr="0038632A" w:rsidRDefault="00C12B45" w:rsidP="00C12B45">
            <w:pPr>
              <w:autoSpaceDE w:val="0"/>
              <w:autoSpaceDN w:val="0"/>
              <w:adjustRightInd w:val="0"/>
              <w:spacing w:after="0" w:line="240" w:lineRule="auto"/>
              <w:rPr>
                <w:b/>
                <w:color w:val="000000"/>
                <w:shd w:val="clear" w:color="auto" w:fill="FFFFFF"/>
              </w:rPr>
            </w:pPr>
            <w:r w:rsidRPr="0038632A">
              <w:rPr>
                <w:b/>
                <w:color w:val="000000"/>
                <w:shd w:val="clear" w:color="auto" w:fill="FFFFFF"/>
              </w:rPr>
              <w:t>Vendor and bidder information</w:t>
            </w:r>
            <w:r>
              <w:rPr>
                <w:b/>
                <w:color w:val="000000"/>
                <w:shd w:val="clear" w:color="auto" w:fill="FFFFFF"/>
              </w:rPr>
              <w:t>.</w:t>
            </w:r>
          </w:p>
          <w:p w14:paraId="500F1560" w14:textId="77777777" w:rsidR="00C12B45" w:rsidRDefault="00C12B45" w:rsidP="00C12B45">
            <w:pPr>
              <w:autoSpaceDE w:val="0"/>
              <w:autoSpaceDN w:val="0"/>
              <w:adjustRightInd w:val="0"/>
              <w:spacing w:after="0" w:line="240" w:lineRule="auto"/>
              <w:ind w:left="335"/>
              <w:rPr>
                <w:rFonts w:asciiTheme="minorHAnsi" w:hAnsiTheme="minorHAnsi" w:cs="Times New Roman PS"/>
                <w:color w:val="000000"/>
              </w:rPr>
            </w:pPr>
            <w:r>
              <w:rPr>
                <w:color w:val="000000"/>
                <w:shd w:val="clear" w:color="auto" w:fill="FFFFFF"/>
              </w:rPr>
              <w:t>D</w:t>
            </w:r>
            <w:r w:rsidRPr="0038632A">
              <w:rPr>
                <w:color w:val="000000"/>
                <w:shd w:val="clear" w:color="auto" w:fill="FFFFFF"/>
              </w:rPr>
              <w:t>ocumentation of approved</w:t>
            </w:r>
            <w:r>
              <w:rPr>
                <w:color w:val="000000"/>
                <w:shd w:val="clear" w:color="auto" w:fill="FFFFFF"/>
              </w:rPr>
              <w:t>, suspended,</w:t>
            </w:r>
            <w:r w:rsidRPr="0038632A">
              <w:rPr>
                <w:color w:val="000000"/>
                <w:shd w:val="clear" w:color="auto" w:fill="FFFFFF"/>
              </w:rPr>
              <w:t xml:space="preserve"> </w:t>
            </w:r>
            <w:r>
              <w:rPr>
                <w:color w:val="000000"/>
                <w:shd w:val="clear" w:color="auto" w:fill="FFFFFF"/>
              </w:rPr>
              <w:t xml:space="preserve">and debarred </w:t>
            </w:r>
            <w:r w:rsidRPr="0038632A">
              <w:rPr>
                <w:color w:val="000000"/>
                <w:shd w:val="clear" w:color="auto" w:fill="FFFFFF"/>
              </w:rPr>
              <w:t>vendors and bidders</w:t>
            </w:r>
            <w:r>
              <w:rPr>
                <w:color w:val="000000"/>
                <w:shd w:val="clear" w:color="auto" w:fill="FFFFFF"/>
              </w:rPr>
              <w:t>.</w:t>
            </w:r>
          </w:p>
          <w:p w14:paraId="6DB3E129" w14:textId="77777777" w:rsidR="00C12B45" w:rsidRDefault="00C12B45" w:rsidP="00C12B45">
            <w:pPr>
              <w:spacing w:after="0" w:line="240" w:lineRule="auto"/>
              <w:ind w:left="335"/>
              <w:rPr>
                <w:rFonts w:asciiTheme="minorHAnsi" w:hAnsiTheme="minorHAnsi" w:cs="Times New Roman PS"/>
                <w:b/>
                <w:color w:val="000000"/>
              </w:rPr>
            </w:pPr>
          </w:p>
          <w:p w14:paraId="28D1C134" w14:textId="77777777" w:rsidR="00C12B45" w:rsidRDefault="00C12B45" w:rsidP="00C12B45">
            <w:pPr>
              <w:autoSpaceDE w:val="0"/>
              <w:autoSpaceDN w:val="0"/>
              <w:adjustRightInd w:val="0"/>
              <w:spacing w:after="0" w:line="240" w:lineRule="auto"/>
              <w:ind w:left="695"/>
              <w:rPr>
                <w:rFonts w:asciiTheme="minorHAnsi" w:hAnsiTheme="minorHAnsi" w:cs="Times New Roman PS"/>
                <w:color w:val="000000"/>
              </w:rPr>
            </w:pPr>
          </w:p>
        </w:tc>
        <w:tc>
          <w:tcPr>
            <w:tcW w:w="5400" w:type="dxa"/>
            <w:gridSpan w:val="2"/>
          </w:tcPr>
          <w:p w14:paraId="11EDC388" w14:textId="77777777" w:rsidR="00C12B45" w:rsidRPr="000864F3" w:rsidRDefault="00C12B45" w:rsidP="00C12B45">
            <w:pPr>
              <w:spacing w:after="0" w:line="240" w:lineRule="auto"/>
              <w:rPr>
                <w:rFonts w:asciiTheme="minorHAnsi" w:hAnsiTheme="minorHAnsi" w:cs="Times New Roman PS"/>
                <w:b/>
                <w:color w:val="000000"/>
              </w:rPr>
            </w:pPr>
            <w:r>
              <w:rPr>
                <w:rFonts w:asciiTheme="minorHAnsi" w:hAnsiTheme="minorHAnsi" w:cs="Times New Roman PS"/>
                <w:b/>
                <w:color w:val="000000"/>
              </w:rPr>
              <w:t>Records of suspensions and debarments for violation of the Drug-Free Workplace Act.</w:t>
            </w:r>
          </w:p>
        </w:tc>
        <w:tc>
          <w:tcPr>
            <w:tcW w:w="1890" w:type="dxa"/>
          </w:tcPr>
          <w:p w14:paraId="6972F180" w14:textId="77777777" w:rsidR="00C12B45" w:rsidRPr="002128E6" w:rsidRDefault="00C12B45" w:rsidP="00C12B45">
            <w:pPr>
              <w:spacing w:after="0" w:line="240" w:lineRule="auto"/>
              <w:rPr>
                <w:rFonts w:asciiTheme="minorHAnsi" w:hAnsiTheme="minorHAnsi" w:cs="Times New Roman PS"/>
                <w:color w:val="000000"/>
              </w:rPr>
            </w:pPr>
            <w:r w:rsidRPr="00C94042">
              <w:rPr>
                <w:rFonts w:asciiTheme="minorHAnsi" w:hAnsiTheme="minorHAnsi" w:cs="Arial"/>
                <w:b/>
              </w:rPr>
              <w:t>Temporary</w:t>
            </w:r>
            <w:r>
              <w:rPr>
                <w:rFonts w:asciiTheme="minorHAnsi" w:hAnsiTheme="minorHAnsi" w:cs="Arial"/>
              </w:rPr>
              <w:t xml:space="preserve">.  </w:t>
            </w:r>
            <w:r>
              <w:rPr>
                <w:rFonts w:asciiTheme="minorHAnsi" w:hAnsiTheme="minorHAnsi" w:cs="Times New Roman PS"/>
                <w:color w:val="000000"/>
              </w:rPr>
              <w:t xml:space="preserve">Destroy 5 years after removal from approved status, </w:t>
            </w:r>
            <w:r w:rsidRPr="00E50144">
              <w:rPr>
                <w:rFonts w:asciiTheme="minorHAnsi" w:hAnsiTheme="minorHAnsi" w:cs="Arial"/>
              </w:rPr>
              <w:t>but longer retention is authorized if required for business use.</w:t>
            </w:r>
          </w:p>
        </w:tc>
        <w:tc>
          <w:tcPr>
            <w:tcW w:w="1260" w:type="dxa"/>
          </w:tcPr>
          <w:p w14:paraId="79A7A512" w14:textId="77777777" w:rsidR="00C12B45" w:rsidRDefault="00C12B45" w:rsidP="00C12B45">
            <w:pPr>
              <w:spacing w:after="0" w:line="240" w:lineRule="auto"/>
              <w:rPr>
                <w:rFonts w:asciiTheme="minorHAnsi" w:hAnsiTheme="minorHAnsi"/>
              </w:rPr>
            </w:pPr>
            <w:r>
              <w:rPr>
                <w:rFonts w:asciiTheme="minorHAnsi" w:hAnsiTheme="minorHAnsi"/>
              </w:rPr>
              <w:t>DAA-GRS-2016-0001-</w:t>
            </w:r>
            <w:r w:rsidRPr="00392B00">
              <w:rPr>
                <w:rFonts w:asciiTheme="minorHAnsi" w:hAnsiTheme="minorHAnsi"/>
              </w:rPr>
              <w:t>000</w:t>
            </w:r>
            <w:r>
              <w:rPr>
                <w:rFonts w:asciiTheme="minorHAnsi" w:hAnsiTheme="minorHAnsi"/>
              </w:rPr>
              <w:t>4</w:t>
            </w:r>
          </w:p>
        </w:tc>
      </w:tr>
      <w:tr w:rsidR="00C12B45" w:rsidRPr="0056338E" w14:paraId="3C9398B1" w14:textId="77777777" w:rsidTr="00A47EEE">
        <w:tc>
          <w:tcPr>
            <w:tcW w:w="727" w:type="dxa"/>
          </w:tcPr>
          <w:p w14:paraId="2855E639" w14:textId="77777777" w:rsidR="00C12B45" w:rsidRDefault="00C12B45" w:rsidP="00C12B45">
            <w:pPr>
              <w:spacing w:after="0" w:line="240" w:lineRule="auto"/>
              <w:jc w:val="center"/>
              <w:rPr>
                <w:rFonts w:asciiTheme="minorHAnsi" w:hAnsiTheme="minorHAnsi"/>
              </w:rPr>
            </w:pPr>
            <w:r>
              <w:rPr>
                <w:rFonts w:asciiTheme="minorHAnsi" w:hAnsiTheme="minorHAnsi"/>
              </w:rPr>
              <w:t>071</w:t>
            </w:r>
          </w:p>
        </w:tc>
        <w:tc>
          <w:tcPr>
            <w:tcW w:w="5220" w:type="dxa"/>
            <w:vMerge/>
          </w:tcPr>
          <w:p w14:paraId="026DE8E2" w14:textId="77777777" w:rsidR="00C12B45" w:rsidRPr="00853FC3" w:rsidRDefault="00C12B45" w:rsidP="00C12B45">
            <w:pPr>
              <w:spacing w:after="0" w:line="240" w:lineRule="auto"/>
              <w:rPr>
                <w:rFonts w:asciiTheme="minorHAnsi" w:hAnsiTheme="minorHAnsi"/>
                <w:b/>
              </w:rPr>
            </w:pPr>
          </w:p>
        </w:tc>
        <w:tc>
          <w:tcPr>
            <w:tcW w:w="5400" w:type="dxa"/>
            <w:gridSpan w:val="2"/>
          </w:tcPr>
          <w:p w14:paraId="4D8BE737" w14:textId="77777777" w:rsidR="00C12B45" w:rsidRPr="00853FC3" w:rsidRDefault="00C12B45" w:rsidP="00C12B45">
            <w:pPr>
              <w:spacing w:after="0" w:line="240" w:lineRule="auto"/>
              <w:rPr>
                <w:rFonts w:asciiTheme="minorHAnsi" w:hAnsiTheme="minorHAnsi"/>
                <w:b/>
              </w:rPr>
            </w:pPr>
            <w:r>
              <w:rPr>
                <w:rFonts w:asciiTheme="minorHAnsi" w:hAnsiTheme="minorHAnsi" w:cs="Times New Roman PS"/>
                <w:b/>
                <w:color w:val="000000"/>
              </w:rPr>
              <w:t>Records of all other suspensions and debarments and all approved vendors and bidders.</w:t>
            </w:r>
          </w:p>
        </w:tc>
        <w:tc>
          <w:tcPr>
            <w:tcW w:w="1890" w:type="dxa"/>
          </w:tcPr>
          <w:p w14:paraId="0B31FCE8" w14:textId="77777777" w:rsidR="00C12B45" w:rsidRPr="0073286E" w:rsidRDefault="00C12B45" w:rsidP="00C12B45">
            <w:pPr>
              <w:spacing w:after="0" w:line="240" w:lineRule="auto"/>
              <w:contextualSpacing/>
              <w:rPr>
                <w:rFonts w:asciiTheme="minorHAnsi" w:hAnsiTheme="minorHAnsi"/>
                <w:b/>
              </w:rPr>
            </w:pPr>
            <w:r w:rsidRPr="00C94042">
              <w:rPr>
                <w:rFonts w:asciiTheme="minorHAnsi" w:hAnsiTheme="minorHAnsi" w:cs="Arial"/>
                <w:b/>
              </w:rPr>
              <w:t>Temporary</w:t>
            </w:r>
            <w:r>
              <w:rPr>
                <w:rFonts w:asciiTheme="minorHAnsi" w:hAnsiTheme="minorHAnsi" w:cs="Arial"/>
              </w:rPr>
              <w:t xml:space="preserve">.  </w:t>
            </w:r>
            <w:r>
              <w:rPr>
                <w:rFonts w:asciiTheme="minorHAnsi" w:hAnsiTheme="minorHAnsi" w:cs="Times New Roman PS"/>
                <w:color w:val="000000"/>
              </w:rPr>
              <w:t xml:space="preserve">Destroy 3 years after removal from approved status, </w:t>
            </w:r>
            <w:r w:rsidRPr="00E50144">
              <w:rPr>
                <w:rFonts w:asciiTheme="minorHAnsi" w:hAnsiTheme="minorHAnsi" w:cs="Arial"/>
              </w:rPr>
              <w:t>but longer retention is authorized if required for business use.</w:t>
            </w:r>
          </w:p>
        </w:tc>
        <w:tc>
          <w:tcPr>
            <w:tcW w:w="1260" w:type="dxa"/>
          </w:tcPr>
          <w:p w14:paraId="17C0052F" w14:textId="77777777" w:rsidR="00C12B45" w:rsidRDefault="00C12B45" w:rsidP="00C12B45">
            <w:pPr>
              <w:spacing w:after="0" w:line="240" w:lineRule="auto"/>
              <w:rPr>
                <w:rFonts w:asciiTheme="minorHAnsi" w:hAnsiTheme="minorHAnsi"/>
              </w:rPr>
            </w:pPr>
            <w:r>
              <w:rPr>
                <w:rFonts w:asciiTheme="minorHAnsi" w:hAnsiTheme="minorHAnsi"/>
              </w:rPr>
              <w:t>DAA-GRS-2016-0001-</w:t>
            </w:r>
            <w:r w:rsidRPr="00392B00">
              <w:rPr>
                <w:rFonts w:asciiTheme="minorHAnsi" w:hAnsiTheme="minorHAnsi"/>
              </w:rPr>
              <w:t>000</w:t>
            </w:r>
            <w:r>
              <w:rPr>
                <w:rFonts w:asciiTheme="minorHAnsi" w:hAnsiTheme="minorHAnsi"/>
              </w:rPr>
              <w:t>5</w:t>
            </w:r>
          </w:p>
        </w:tc>
      </w:tr>
      <w:tr w:rsidR="008516F2" w:rsidRPr="0056338E" w14:paraId="066F52E6" w14:textId="77777777" w:rsidTr="00A47EEE">
        <w:tc>
          <w:tcPr>
            <w:tcW w:w="727" w:type="dxa"/>
          </w:tcPr>
          <w:p w14:paraId="0555961F" w14:textId="77777777" w:rsidR="008516F2" w:rsidRDefault="008516F2" w:rsidP="008516F2">
            <w:pPr>
              <w:spacing w:after="0" w:line="240" w:lineRule="auto"/>
              <w:jc w:val="center"/>
              <w:rPr>
                <w:rFonts w:asciiTheme="minorHAnsi" w:hAnsiTheme="minorHAnsi"/>
              </w:rPr>
            </w:pPr>
            <w:r>
              <w:t>080</w:t>
            </w:r>
          </w:p>
        </w:tc>
        <w:tc>
          <w:tcPr>
            <w:tcW w:w="10620" w:type="dxa"/>
            <w:gridSpan w:val="3"/>
          </w:tcPr>
          <w:p w14:paraId="3F6CD23E" w14:textId="77777777" w:rsidR="008516F2" w:rsidRDefault="008516F2" w:rsidP="008516F2">
            <w:pPr>
              <w:spacing w:after="0" w:line="240" w:lineRule="auto"/>
            </w:pPr>
            <w:r w:rsidRPr="00ED4AB1">
              <w:rPr>
                <w:rFonts w:asciiTheme="minorHAnsi" w:eastAsia="Times New Roman" w:hAnsiTheme="minorHAnsi"/>
                <w:b/>
              </w:rPr>
              <w:t xml:space="preserve">Administrative </w:t>
            </w:r>
            <w:r>
              <w:rPr>
                <w:rFonts w:asciiTheme="minorHAnsi" w:eastAsia="Times New Roman" w:hAnsiTheme="minorHAnsi"/>
                <w:b/>
              </w:rPr>
              <w:t>c</w:t>
            </w:r>
            <w:r w:rsidRPr="00ED4AB1">
              <w:rPr>
                <w:rFonts w:asciiTheme="minorHAnsi" w:eastAsia="Times New Roman" w:hAnsiTheme="minorHAnsi"/>
                <w:b/>
              </w:rPr>
              <w:t>laims</w:t>
            </w:r>
            <w:r>
              <w:rPr>
                <w:rFonts w:asciiTheme="minorHAnsi" w:eastAsia="Times New Roman" w:hAnsiTheme="minorHAnsi"/>
                <w:b/>
              </w:rPr>
              <w:t xml:space="preserve"> by or </w:t>
            </w:r>
            <w:r w:rsidRPr="00C715A3">
              <w:rPr>
                <w:rFonts w:asciiTheme="minorHAnsi" w:eastAsia="Times New Roman" w:hAnsiTheme="minorHAnsi"/>
                <w:b/>
              </w:rPr>
              <w:t>against</w:t>
            </w:r>
            <w:r w:rsidRPr="00ED4AB1">
              <w:rPr>
                <w:rFonts w:asciiTheme="minorHAnsi" w:eastAsia="Times New Roman" w:hAnsiTheme="minorHAnsi"/>
                <w:b/>
                <w:i/>
              </w:rPr>
              <w:t xml:space="preserve"> </w:t>
            </w:r>
            <w:r w:rsidRPr="00ED4AB1">
              <w:rPr>
                <w:rFonts w:asciiTheme="minorHAnsi" w:eastAsia="Times New Roman" w:hAnsiTheme="minorHAnsi"/>
                <w:b/>
              </w:rPr>
              <w:t>the United States</w:t>
            </w:r>
            <w:r>
              <w:rPr>
                <w:b/>
              </w:rPr>
              <w:t>.</w:t>
            </w:r>
          </w:p>
          <w:p w14:paraId="4CCA6A17" w14:textId="77777777" w:rsidR="008516F2" w:rsidRPr="006D1347" w:rsidRDefault="008516F2" w:rsidP="008516F2">
            <w:pPr>
              <w:pStyle w:val="Default"/>
              <w:tabs>
                <w:tab w:val="left" w:pos="720"/>
              </w:tabs>
              <w:ind w:left="355"/>
              <w:rPr>
                <w:rFonts w:asciiTheme="minorHAnsi" w:hAnsiTheme="minorHAnsi"/>
                <w:sz w:val="22"/>
                <w:szCs w:val="22"/>
              </w:rPr>
            </w:pPr>
            <w:r w:rsidRPr="00ED4AB1">
              <w:rPr>
                <w:rFonts w:asciiTheme="minorHAnsi" w:hAnsiTheme="minorHAnsi"/>
                <w:sz w:val="22"/>
                <w:szCs w:val="22"/>
              </w:rPr>
              <w:t xml:space="preserve">Records </w:t>
            </w:r>
            <w:r>
              <w:rPr>
                <w:rFonts w:asciiTheme="minorHAnsi" w:hAnsiTheme="minorHAnsi"/>
                <w:sz w:val="22"/>
                <w:szCs w:val="22"/>
              </w:rPr>
              <w:t>of</w:t>
            </w:r>
            <w:r w:rsidRPr="00ED4AB1">
              <w:rPr>
                <w:rFonts w:asciiTheme="minorHAnsi" w:hAnsiTheme="minorHAnsi"/>
                <w:sz w:val="22"/>
                <w:szCs w:val="22"/>
              </w:rPr>
              <w:t xml:space="preserve"> mone</w:t>
            </w:r>
            <w:r>
              <w:rPr>
                <w:rFonts w:asciiTheme="minorHAnsi" w:hAnsiTheme="minorHAnsi"/>
                <w:sz w:val="22"/>
                <w:szCs w:val="22"/>
              </w:rPr>
              <w:t>tar</w:t>
            </w:r>
            <w:r w:rsidRPr="00ED4AB1">
              <w:rPr>
                <w:rFonts w:asciiTheme="minorHAnsi" w:hAnsiTheme="minorHAnsi"/>
                <w:sz w:val="22"/>
                <w:szCs w:val="22"/>
              </w:rPr>
              <w:t xml:space="preserve">y or property claims </w:t>
            </w:r>
            <w:r w:rsidRPr="006D1347">
              <w:rPr>
                <w:rFonts w:asciiTheme="minorHAnsi" w:hAnsiTheme="minorHAnsi"/>
                <w:i/>
                <w:sz w:val="22"/>
                <w:szCs w:val="22"/>
              </w:rPr>
              <w:t>by</w:t>
            </w:r>
            <w:r w:rsidRPr="006D1347">
              <w:rPr>
                <w:rFonts w:asciiTheme="minorHAnsi" w:hAnsiTheme="minorHAnsi"/>
                <w:sz w:val="22"/>
                <w:szCs w:val="22"/>
              </w:rPr>
              <w:t xml:space="preserve"> the United States subject to the Federal Claims Collection Standards</w:t>
            </w:r>
            <w:r>
              <w:rPr>
                <w:rFonts w:asciiTheme="minorHAnsi" w:hAnsiTheme="minorHAnsi"/>
                <w:sz w:val="22"/>
                <w:szCs w:val="22"/>
              </w:rPr>
              <w:t>,</w:t>
            </w:r>
            <w:r w:rsidRPr="006D1347">
              <w:rPr>
                <w:rFonts w:asciiTheme="minorHAnsi" w:hAnsiTheme="minorHAnsi"/>
                <w:sz w:val="22"/>
                <w:szCs w:val="22"/>
              </w:rPr>
              <w:t xml:space="preserve"> </w:t>
            </w:r>
            <w:r w:rsidRPr="006D1347">
              <w:rPr>
                <w:rFonts w:asciiTheme="minorHAnsi" w:eastAsia="Times New Roman" w:hAnsiTheme="minorHAnsi"/>
                <w:sz w:val="22"/>
                <w:szCs w:val="22"/>
              </w:rPr>
              <w:t>completed or closed by</w:t>
            </w:r>
            <w:r>
              <w:rPr>
                <w:rFonts w:asciiTheme="minorHAnsi" w:eastAsia="Times New Roman" w:hAnsiTheme="minorHAnsi"/>
                <w:sz w:val="22"/>
                <w:szCs w:val="22"/>
              </w:rPr>
              <w:t>:</w:t>
            </w:r>
          </w:p>
          <w:p w14:paraId="0C54DED5" w14:textId="77777777" w:rsidR="008516F2" w:rsidRPr="006D1347" w:rsidRDefault="008516F2" w:rsidP="008516F2">
            <w:pPr>
              <w:pStyle w:val="ListParagraph"/>
              <w:numPr>
                <w:ilvl w:val="0"/>
                <w:numId w:val="32"/>
              </w:numPr>
              <w:spacing w:after="0" w:line="240" w:lineRule="auto"/>
              <w:ind w:left="690" w:hanging="315"/>
            </w:pPr>
            <w:r>
              <w:rPr>
                <w:rFonts w:asciiTheme="minorHAnsi" w:hAnsiTheme="minorHAnsi"/>
              </w:rPr>
              <w:t>payment in full</w:t>
            </w:r>
          </w:p>
          <w:p w14:paraId="2EF54920" w14:textId="77777777" w:rsidR="008516F2" w:rsidRPr="006D1347" w:rsidRDefault="008516F2" w:rsidP="008516F2">
            <w:pPr>
              <w:pStyle w:val="ListParagraph"/>
              <w:numPr>
                <w:ilvl w:val="0"/>
                <w:numId w:val="32"/>
              </w:numPr>
              <w:spacing w:after="0" w:line="240" w:lineRule="auto"/>
              <w:ind w:left="690" w:hanging="315"/>
            </w:pPr>
            <w:r w:rsidRPr="006D1347">
              <w:rPr>
                <w:rFonts w:asciiTheme="minorHAnsi" w:hAnsiTheme="minorHAnsi"/>
              </w:rPr>
              <w:lastRenderedPageBreak/>
              <w:t>compromise agreement</w:t>
            </w:r>
          </w:p>
          <w:p w14:paraId="13032FDD" w14:textId="77777777" w:rsidR="008516F2" w:rsidRPr="004D214A" w:rsidRDefault="008516F2" w:rsidP="008516F2">
            <w:pPr>
              <w:pStyle w:val="ListParagraph"/>
              <w:numPr>
                <w:ilvl w:val="0"/>
                <w:numId w:val="32"/>
              </w:numPr>
              <w:spacing w:after="0" w:line="240" w:lineRule="auto"/>
              <w:ind w:left="690" w:hanging="315"/>
            </w:pPr>
            <w:r>
              <w:rPr>
                <w:rFonts w:asciiTheme="minorHAnsi" w:hAnsiTheme="minorHAnsi"/>
              </w:rPr>
              <w:t>termination of collection action</w:t>
            </w:r>
          </w:p>
          <w:p w14:paraId="7C4FDF96" w14:textId="77777777" w:rsidR="008516F2" w:rsidRPr="004D214A" w:rsidRDefault="008516F2" w:rsidP="008516F2">
            <w:pPr>
              <w:pStyle w:val="ListParagraph"/>
              <w:numPr>
                <w:ilvl w:val="0"/>
                <w:numId w:val="32"/>
              </w:numPr>
              <w:spacing w:after="0" w:line="240" w:lineRule="auto"/>
              <w:ind w:left="690" w:hanging="315"/>
            </w:pPr>
            <w:r w:rsidRPr="006D1347">
              <w:rPr>
                <w:rFonts w:asciiTheme="minorHAnsi" w:hAnsiTheme="minorHAnsi"/>
              </w:rPr>
              <w:t>determin</w:t>
            </w:r>
            <w:r>
              <w:rPr>
                <w:rFonts w:asciiTheme="minorHAnsi" w:hAnsiTheme="minorHAnsi"/>
              </w:rPr>
              <w:t>ation that money or property is not owed to the United States</w:t>
            </w:r>
          </w:p>
          <w:p w14:paraId="1F418770" w14:textId="77777777" w:rsidR="008516F2" w:rsidRDefault="008516F2" w:rsidP="00EE4566">
            <w:pPr>
              <w:pStyle w:val="ListParagraph"/>
              <w:numPr>
                <w:ilvl w:val="0"/>
                <w:numId w:val="32"/>
              </w:numPr>
              <w:tabs>
                <w:tab w:val="left" w:pos="691"/>
              </w:tabs>
              <w:autoSpaceDE w:val="0"/>
              <w:autoSpaceDN w:val="0"/>
              <w:adjustRightInd w:val="0"/>
              <w:spacing w:after="0" w:line="240" w:lineRule="auto"/>
              <w:ind w:left="661" w:hanging="268"/>
              <w:rPr>
                <w:rFonts w:asciiTheme="minorHAnsi" w:eastAsia="Times New Roman" w:hAnsiTheme="minorHAnsi"/>
              </w:rPr>
            </w:pPr>
            <w:r w:rsidRPr="006D1347">
              <w:rPr>
                <w:rFonts w:asciiTheme="minorHAnsi" w:hAnsiTheme="minorHAnsi"/>
              </w:rPr>
              <w:t>approv</w:t>
            </w:r>
            <w:r>
              <w:rPr>
                <w:rFonts w:asciiTheme="minorHAnsi" w:hAnsiTheme="minorHAnsi"/>
              </w:rPr>
              <w:t>al</w:t>
            </w:r>
            <w:r w:rsidRPr="006D1347">
              <w:rPr>
                <w:rFonts w:asciiTheme="minorHAnsi" w:hAnsiTheme="minorHAnsi"/>
              </w:rPr>
              <w:t xml:space="preserve"> or deni</w:t>
            </w:r>
            <w:r>
              <w:rPr>
                <w:rFonts w:asciiTheme="minorHAnsi" w:hAnsiTheme="minorHAnsi"/>
              </w:rPr>
              <w:t>al of</w:t>
            </w:r>
            <w:r w:rsidRPr="006D1347">
              <w:rPr>
                <w:rFonts w:asciiTheme="minorHAnsi" w:hAnsiTheme="minorHAnsi"/>
              </w:rPr>
              <w:t xml:space="preserve"> </w:t>
            </w:r>
            <w:r>
              <w:rPr>
                <w:rFonts w:asciiTheme="minorHAnsi" w:hAnsiTheme="minorHAnsi"/>
              </w:rPr>
              <w:t xml:space="preserve">claim </w:t>
            </w:r>
            <w:r w:rsidRPr="006D1347">
              <w:rPr>
                <w:rFonts w:asciiTheme="minorHAnsi" w:hAnsiTheme="minorHAnsi"/>
              </w:rPr>
              <w:t xml:space="preserve">waiver </w:t>
            </w:r>
            <w:r>
              <w:rPr>
                <w:rFonts w:asciiTheme="minorHAnsi" w:hAnsiTheme="minorHAnsi"/>
              </w:rPr>
              <w:t>for</w:t>
            </w:r>
            <w:r w:rsidRPr="006D1347">
              <w:rPr>
                <w:rFonts w:asciiTheme="minorHAnsi" w:hAnsiTheme="minorHAnsi"/>
              </w:rPr>
              <w:t xml:space="preserve"> erroneous payment of pay, travel</w:t>
            </w:r>
            <w:r>
              <w:rPr>
                <w:rFonts w:asciiTheme="minorHAnsi" w:hAnsiTheme="minorHAnsi"/>
              </w:rPr>
              <w:t>,</w:t>
            </w:r>
            <w:r w:rsidRPr="006D1347">
              <w:rPr>
                <w:rFonts w:asciiTheme="minorHAnsi" w:hAnsiTheme="minorHAnsi"/>
              </w:rPr>
              <w:t xml:space="preserve"> or relocation expenses to a civilian </w:t>
            </w:r>
            <w:r>
              <w:rPr>
                <w:rFonts w:asciiTheme="minorHAnsi" w:hAnsiTheme="minorHAnsi"/>
              </w:rPr>
              <w:t>F</w:t>
            </w:r>
            <w:r w:rsidRPr="006D1347">
              <w:rPr>
                <w:rFonts w:asciiTheme="minorHAnsi" w:hAnsiTheme="minorHAnsi"/>
              </w:rPr>
              <w:t xml:space="preserve">ederal employee </w:t>
            </w:r>
            <w:r>
              <w:rPr>
                <w:rFonts w:asciiTheme="minorHAnsi" w:hAnsiTheme="minorHAnsi"/>
              </w:rPr>
              <w:t xml:space="preserve">or </w:t>
            </w:r>
            <w:r w:rsidRPr="006D1347">
              <w:rPr>
                <w:rFonts w:asciiTheme="minorHAnsi" w:hAnsiTheme="minorHAnsi"/>
              </w:rPr>
              <w:t>a member or former member of the uniformed services or the National Guard</w:t>
            </w:r>
            <w:r>
              <w:rPr>
                <w:rFonts w:asciiTheme="minorHAnsi" w:eastAsia="Times New Roman" w:hAnsiTheme="minorHAnsi"/>
              </w:rPr>
              <w:t xml:space="preserve"> </w:t>
            </w:r>
          </w:p>
          <w:p w14:paraId="2FF5969A" w14:textId="77777777" w:rsidR="008516F2" w:rsidRPr="003073D6" w:rsidRDefault="008516F2" w:rsidP="008516F2">
            <w:pPr>
              <w:pStyle w:val="ListParagraph"/>
              <w:numPr>
                <w:ilvl w:val="0"/>
                <w:numId w:val="32"/>
              </w:numPr>
              <w:spacing w:after="0" w:line="240" w:lineRule="auto"/>
              <w:ind w:left="690" w:hanging="315"/>
            </w:pPr>
            <w:r>
              <w:rPr>
                <w:rFonts w:asciiTheme="minorHAnsi" w:eastAsia="Times New Roman" w:hAnsiTheme="minorHAnsi"/>
              </w:rPr>
              <w:t>lifting of court order</w:t>
            </w:r>
          </w:p>
          <w:p w14:paraId="7B9F4D49" w14:textId="77777777" w:rsidR="008516F2" w:rsidRPr="001C1197" w:rsidRDefault="008516F2" w:rsidP="008516F2">
            <w:pPr>
              <w:autoSpaceDE w:val="0"/>
              <w:autoSpaceDN w:val="0"/>
              <w:adjustRightInd w:val="0"/>
              <w:spacing w:after="0" w:line="240" w:lineRule="auto"/>
              <w:ind w:left="384"/>
              <w:rPr>
                <w:rFonts w:asciiTheme="minorHAnsi" w:eastAsia="Times New Roman" w:hAnsiTheme="minorHAnsi"/>
              </w:rPr>
            </w:pPr>
            <w:r>
              <w:rPr>
                <w:rFonts w:asciiTheme="minorHAnsi" w:eastAsia="Times New Roman" w:hAnsiTheme="minorHAnsi"/>
              </w:rPr>
              <w:t>Also, r</w:t>
            </w:r>
            <w:r w:rsidRPr="001C1197">
              <w:rPr>
                <w:rFonts w:asciiTheme="minorHAnsi" w:eastAsia="Times New Roman" w:hAnsiTheme="minorHAnsi"/>
              </w:rPr>
              <w:t xml:space="preserve">ecords of monetary claims </w:t>
            </w:r>
            <w:r w:rsidRPr="001C1197">
              <w:rPr>
                <w:rFonts w:asciiTheme="minorHAnsi" w:eastAsia="Times New Roman" w:hAnsiTheme="minorHAnsi"/>
                <w:i/>
              </w:rPr>
              <w:t>against</w:t>
            </w:r>
            <w:r w:rsidRPr="001C1197">
              <w:rPr>
                <w:rFonts w:asciiTheme="minorHAnsi" w:eastAsia="Times New Roman" w:hAnsiTheme="minorHAnsi"/>
              </w:rPr>
              <w:t xml:space="preserve"> the United States, completed or closed by</w:t>
            </w:r>
            <w:r>
              <w:rPr>
                <w:rFonts w:asciiTheme="minorHAnsi" w:eastAsia="Times New Roman" w:hAnsiTheme="minorHAnsi"/>
              </w:rPr>
              <w:t>:</w:t>
            </w:r>
            <w:r w:rsidRPr="001C1197">
              <w:rPr>
                <w:rFonts w:asciiTheme="minorHAnsi" w:eastAsia="Times New Roman" w:hAnsiTheme="minorHAnsi"/>
              </w:rPr>
              <w:t xml:space="preserve"> </w:t>
            </w:r>
          </w:p>
          <w:p w14:paraId="2964E454" w14:textId="77777777" w:rsidR="008516F2" w:rsidRDefault="008516F2" w:rsidP="008516F2">
            <w:pPr>
              <w:pStyle w:val="ListParagraph"/>
              <w:numPr>
                <w:ilvl w:val="0"/>
                <w:numId w:val="32"/>
              </w:numPr>
              <w:autoSpaceDE w:val="0"/>
              <w:autoSpaceDN w:val="0"/>
              <w:adjustRightInd w:val="0"/>
              <w:spacing w:after="0" w:line="240" w:lineRule="auto"/>
              <w:ind w:left="690" w:hanging="297"/>
              <w:rPr>
                <w:rFonts w:asciiTheme="minorHAnsi" w:eastAsia="Times New Roman" w:hAnsiTheme="minorHAnsi"/>
              </w:rPr>
            </w:pPr>
            <w:r w:rsidRPr="006D1347">
              <w:rPr>
                <w:rFonts w:asciiTheme="minorHAnsi" w:eastAsia="Times New Roman" w:hAnsiTheme="minorHAnsi"/>
              </w:rPr>
              <w:t>disallowance in full</w:t>
            </w:r>
          </w:p>
          <w:p w14:paraId="1E983945" w14:textId="77777777" w:rsidR="008516F2" w:rsidRPr="006D1347" w:rsidRDefault="008516F2" w:rsidP="008516F2">
            <w:pPr>
              <w:pStyle w:val="ListParagraph"/>
              <w:numPr>
                <w:ilvl w:val="0"/>
                <w:numId w:val="32"/>
              </w:numPr>
              <w:autoSpaceDE w:val="0"/>
              <w:autoSpaceDN w:val="0"/>
              <w:adjustRightInd w:val="0"/>
              <w:spacing w:after="0" w:line="240" w:lineRule="auto"/>
              <w:ind w:left="690" w:hanging="297"/>
              <w:rPr>
                <w:rFonts w:asciiTheme="minorHAnsi" w:eastAsia="Times New Roman" w:hAnsiTheme="minorHAnsi"/>
              </w:rPr>
            </w:pPr>
            <w:r w:rsidRPr="006D1347">
              <w:rPr>
                <w:rFonts w:asciiTheme="minorHAnsi" w:eastAsia="Times New Roman" w:hAnsiTheme="minorHAnsi"/>
              </w:rPr>
              <w:t>allowance in full or in part with final payment awarded</w:t>
            </w:r>
          </w:p>
          <w:p w14:paraId="50D9BBDF" w14:textId="77777777" w:rsidR="008516F2" w:rsidRDefault="008516F2" w:rsidP="008516F2">
            <w:pPr>
              <w:pStyle w:val="ListParagraph"/>
              <w:numPr>
                <w:ilvl w:val="0"/>
                <w:numId w:val="32"/>
              </w:numPr>
              <w:autoSpaceDE w:val="0"/>
              <w:autoSpaceDN w:val="0"/>
              <w:adjustRightInd w:val="0"/>
              <w:spacing w:after="0" w:line="240" w:lineRule="auto"/>
              <w:ind w:left="690" w:hanging="297"/>
              <w:rPr>
                <w:rFonts w:asciiTheme="minorHAnsi" w:eastAsia="Times New Roman" w:hAnsiTheme="minorHAnsi"/>
              </w:rPr>
            </w:pPr>
            <w:r w:rsidRPr="006D1347">
              <w:rPr>
                <w:rFonts w:asciiTheme="minorHAnsi" w:eastAsia="Times New Roman" w:hAnsiTheme="minorHAnsi"/>
              </w:rPr>
              <w:t>settlement</w:t>
            </w:r>
            <w:r>
              <w:rPr>
                <w:rFonts w:asciiTheme="minorHAnsi" w:eastAsia="Times New Roman" w:hAnsiTheme="minorHAnsi"/>
              </w:rPr>
              <w:t>, compromise, or withdrawal</w:t>
            </w:r>
          </w:p>
          <w:p w14:paraId="4C092F81" w14:textId="77777777" w:rsidR="008516F2" w:rsidRPr="006D1347" w:rsidRDefault="008516F2" w:rsidP="008516F2">
            <w:pPr>
              <w:pStyle w:val="ListParagraph"/>
              <w:numPr>
                <w:ilvl w:val="0"/>
                <w:numId w:val="32"/>
              </w:numPr>
              <w:autoSpaceDE w:val="0"/>
              <w:autoSpaceDN w:val="0"/>
              <w:adjustRightInd w:val="0"/>
              <w:spacing w:after="0" w:line="240" w:lineRule="auto"/>
              <w:ind w:left="690" w:hanging="297"/>
              <w:rPr>
                <w:rFonts w:asciiTheme="minorHAnsi" w:eastAsia="Times New Roman" w:hAnsiTheme="minorHAnsi"/>
              </w:rPr>
            </w:pPr>
            <w:r>
              <w:rPr>
                <w:rFonts w:asciiTheme="minorHAnsi" w:eastAsia="Times New Roman" w:hAnsiTheme="minorHAnsi"/>
              </w:rPr>
              <w:t>lifting of court order</w:t>
            </w:r>
          </w:p>
          <w:p w14:paraId="17704B5F" w14:textId="77777777" w:rsidR="008516F2" w:rsidRDefault="008516F2" w:rsidP="008516F2">
            <w:pPr>
              <w:autoSpaceDE w:val="0"/>
              <w:autoSpaceDN w:val="0"/>
              <w:adjustRightInd w:val="0"/>
              <w:spacing w:after="0" w:line="240" w:lineRule="auto"/>
              <w:ind w:left="360"/>
              <w:rPr>
                <w:rFonts w:asciiTheme="minorHAnsi" w:eastAsia="Times New Roman" w:hAnsiTheme="minorHAnsi"/>
                <w:b/>
              </w:rPr>
            </w:pPr>
          </w:p>
          <w:p w14:paraId="4A083761" w14:textId="77777777" w:rsidR="008516F2" w:rsidRDefault="008516F2" w:rsidP="008516F2">
            <w:pPr>
              <w:autoSpaceDE w:val="0"/>
              <w:autoSpaceDN w:val="0"/>
              <w:adjustRightInd w:val="0"/>
              <w:spacing w:after="0" w:line="240" w:lineRule="auto"/>
              <w:ind w:left="360"/>
              <w:rPr>
                <w:rFonts w:asciiTheme="minorHAnsi" w:eastAsia="Times New Roman" w:hAnsiTheme="minorHAnsi"/>
              </w:rPr>
            </w:pPr>
            <w:r w:rsidRPr="00ED4AB1">
              <w:rPr>
                <w:rFonts w:asciiTheme="minorHAnsi" w:eastAsia="Times New Roman" w:hAnsiTheme="minorHAnsi"/>
                <w:b/>
              </w:rPr>
              <w:t>Legal Citation</w:t>
            </w:r>
            <w:r>
              <w:rPr>
                <w:rFonts w:asciiTheme="minorHAnsi" w:eastAsia="Times New Roman" w:hAnsiTheme="minorHAnsi"/>
                <w:b/>
              </w:rPr>
              <w:t>s</w:t>
            </w:r>
            <w:r w:rsidRPr="00ED4AB1">
              <w:rPr>
                <w:rFonts w:asciiTheme="minorHAnsi" w:eastAsia="Times New Roman" w:hAnsiTheme="minorHAnsi"/>
              </w:rPr>
              <w:t xml:space="preserve">: </w:t>
            </w:r>
          </w:p>
          <w:p w14:paraId="38416319" w14:textId="77777777" w:rsidR="008516F2" w:rsidRDefault="008516F2" w:rsidP="008516F2">
            <w:pPr>
              <w:spacing w:after="0" w:line="240" w:lineRule="auto"/>
              <w:ind w:left="600"/>
              <w:contextualSpacing/>
              <w:rPr>
                <w:rFonts w:asciiTheme="minorHAnsi" w:hAnsiTheme="minorHAnsi"/>
              </w:rPr>
            </w:pPr>
            <w:r w:rsidRPr="00ED4AB1">
              <w:rPr>
                <w:rFonts w:asciiTheme="minorHAnsi" w:hAnsiTheme="minorHAnsi"/>
              </w:rPr>
              <w:t>31 CFR 900-904</w:t>
            </w:r>
          </w:p>
          <w:p w14:paraId="3F838E46" w14:textId="77777777" w:rsidR="008516F2" w:rsidRPr="00ED4AB1" w:rsidRDefault="008516F2" w:rsidP="008516F2">
            <w:pPr>
              <w:spacing w:after="0" w:line="240" w:lineRule="auto"/>
              <w:ind w:left="600"/>
              <w:contextualSpacing/>
              <w:rPr>
                <w:rFonts w:asciiTheme="minorHAnsi" w:hAnsiTheme="minorHAnsi"/>
              </w:rPr>
            </w:pPr>
            <w:r w:rsidRPr="00ED4AB1">
              <w:rPr>
                <w:rFonts w:asciiTheme="minorHAnsi" w:eastAsia="Times New Roman" w:hAnsiTheme="minorHAnsi"/>
              </w:rPr>
              <w:t>28 U.S.C. 2401</w:t>
            </w:r>
          </w:p>
          <w:p w14:paraId="34F5E541" w14:textId="77777777" w:rsidR="008516F2" w:rsidRDefault="008516F2" w:rsidP="008516F2">
            <w:pPr>
              <w:spacing w:after="0" w:line="240" w:lineRule="auto"/>
              <w:ind w:left="600"/>
              <w:contextualSpacing/>
              <w:rPr>
                <w:rFonts w:asciiTheme="minorHAnsi" w:hAnsiTheme="minorHAnsi"/>
              </w:rPr>
            </w:pPr>
            <w:r w:rsidRPr="00ED4AB1">
              <w:rPr>
                <w:rFonts w:asciiTheme="minorHAnsi" w:hAnsiTheme="minorHAnsi"/>
              </w:rPr>
              <w:t>28 U.S.C. 2415(a)</w:t>
            </w:r>
          </w:p>
          <w:p w14:paraId="5868AF93" w14:textId="77777777" w:rsidR="008516F2" w:rsidRDefault="008516F2" w:rsidP="008516F2">
            <w:pPr>
              <w:spacing w:after="0" w:line="240" w:lineRule="auto"/>
              <w:ind w:left="600"/>
              <w:contextualSpacing/>
              <w:rPr>
                <w:rFonts w:asciiTheme="minorHAnsi" w:hAnsiTheme="minorHAnsi"/>
              </w:rPr>
            </w:pPr>
            <w:r>
              <w:rPr>
                <w:rFonts w:asciiTheme="minorHAnsi" w:hAnsiTheme="minorHAnsi"/>
              </w:rPr>
              <w:t>31 U.S.C. 3716(c)</w:t>
            </w:r>
          </w:p>
          <w:p w14:paraId="432486C0" w14:textId="77777777" w:rsidR="008516F2" w:rsidRPr="00EB305B" w:rsidRDefault="008516F2" w:rsidP="008516F2">
            <w:pPr>
              <w:spacing w:after="0" w:line="240" w:lineRule="auto"/>
              <w:ind w:left="600"/>
              <w:contextualSpacing/>
              <w:rPr>
                <w:rFonts w:asciiTheme="minorHAnsi" w:hAnsiTheme="minorHAnsi"/>
              </w:rPr>
            </w:pPr>
            <w:r>
              <w:rPr>
                <w:rFonts w:asciiTheme="minorHAnsi" w:hAnsiTheme="minorHAnsi"/>
              </w:rPr>
              <w:t>31 U.S.C. 3716(e)</w:t>
            </w:r>
          </w:p>
        </w:tc>
        <w:tc>
          <w:tcPr>
            <w:tcW w:w="1890" w:type="dxa"/>
          </w:tcPr>
          <w:p w14:paraId="6B524040" w14:textId="77777777" w:rsidR="008516F2" w:rsidRPr="0006270F" w:rsidRDefault="008516F2" w:rsidP="008516F2">
            <w:pPr>
              <w:spacing w:after="0" w:line="240" w:lineRule="auto"/>
              <w:rPr>
                <w:b/>
              </w:rPr>
            </w:pPr>
            <w:r>
              <w:rPr>
                <w:b/>
              </w:rPr>
              <w:lastRenderedPageBreak/>
              <w:t>Temporary.</w:t>
            </w:r>
            <w:r>
              <w:t xml:space="preserve">  </w:t>
            </w:r>
            <w:r w:rsidRPr="00ED4AB1">
              <w:rPr>
                <w:rFonts w:asciiTheme="minorHAnsi" w:eastAsia="Times New Roman" w:hAnsiTheme="minorHAnsi"/>
              </w:rPr>
              <w:t xml:space="preserve">Destroy </w:t>
            </w:r>
            <w:r>
              <w:rPr>
                <w:rFonts w:asciiTheme="minorHAnsi" w:eastAsia="Times New Roman" w:hAnsiTheme="minorHAnsi"/>
              </w:rPr>
              <w:t>7</w:t>
            </w:r>
            <w:r w:rsidRPr="00ED4AB1">
              <w:rPr>
                <w:rFonts w:asciiTheme="minorHAnsi" w:eastAsia="Times New Roman" w:hAnsiTheme="minorHAnsi"/>
              </w:rPr>
              <w:t xml:space="preserve"> years after </w:t>
            </w:r>
            <w:r>
              <w:rPr>
                <w:rFonts w:asciiTheme="minorHAnsi" w:eastAsia="Times New Roman" w:hAnsiTheme="minorHAnsi"/>
              </w:rPr>
              <w:t xml:space="preserve">final action, but longer </w:t>
            </w:r>
            <w:r>
              <w:rPr>
                <w:rFonts w:asciiTheme="minorHAnsi" w:eastAsia="Times New Roman" w:hAnsiTheme="minorHAnsi"/>
              </w:rPr>
              <w:lastRenderedPageBreak/>
              <w:t>retention is authorized if required for business use</w:t>
            </w:r>
            <w:r w:rsidRPr="00ED4AB1">
              <w:rPr>
                <w:rFonts w:asciiTheme="minorHAnsi" w:eastAsia="Times New Roman" w:hAnsiTheme="minorHAnsi"/>
              </w:rPr>
              <w:t>.</w:t>
            </w:r>
          </w:p>
        </w:tc>
        <w:tc>
          <w:tcPr>
            <w:tcW w:w="1260" w:type="dxa"/>
          </w:tcPr>
          <w:p w14:paraId="4D77C28C" w14:textId="77777777" w:rsidR="008516F2" w:rsidRDefault="008516F2" w:rsidP="008516F2">
            <w:pPr>
              <w:spacing w:after="0" w:line="240" w:lineRule="auto"/>
              <w:rPr>
                <w:rFonts w:cstheme="minorHAnsi"/>
              </w:rPr>
            </w:pPr>
            <w:r>
              <w:lastRenderedPageBreak/>
              <w:t>DAA-GRS-2017-0005-0001</w:t>
            </w:r>
          </w:p>
        </w:tc>
      </w:tr>
      <w:tr w:rsidR="008516F2" w:rsidRPr="0056338E" w14:paraId="0D1EB9EA" w14:textId="77777777" w:rsidTr="00A47EEE">
        <w:tc>
          <w:tcPr>
            <w:tcW w:w="727" w:type="dxa"/>
          </w:tcPr>
          <w:p w14:paraId="77CBF374" w14:textId="77777777" w:rsidR="008516F2" w:rsidRDefault="008516F2" w:rsidP="008516F2">
            <w:pPr>
              <w:spacing w:after="0" w:line="240" w:lineRule="auto"/>
              <w:jc w:val="center"/>
            </w:pPr>
            <w:r>
              <w:t>090</w:t>
            </w:r>
          </w:p>
        </w:tc>
        <w:tc>
          <w:tcPr>
            <w:tcW w:w="10620" w:type="dxa"/>
            <w:gridSpan w:val="3"/>
          </w:tcPr>
          <w:p w14:paraId="6647A84B" w14:textId="77777777" w:rsidR="008516F2" w:rsidRDefault="008516F2" w:rsidP="008516F2">
            <w:pPr>
              <w:autoSpaceDE w:val="0"/>
              <w:autoSpaceDN w:val="0"/>
              <w:adjustRightInd w:val="0"/>
              <w:spacing w:after="0" w:line="240" w:lineRule="auto"/>
              <w:rPr>
                <w:rFonts w:asciiTheme="minorHAnsi" w:hAnsiTheme="minorHAnsi"/>
                <w:b/>
              </w:rPr>
            </w:pPr>
            <w:r w:rsidRPr="009D506F">
              <w:rPr>
                <w:rFonts w:asciiTheme="minorHAnsi" w:hAnsiTheme="minorHAnsi"/>
                <w:b/>
              </w:rPr>
              <w:t>Government purchase card and travel credit card application and approval records.</w:t>
            </w:r>
          </w:p>
          <w:p w14:paraId="66102886" w14:textId="77777777" w:rsidR="008516F2" w:rsidRPr="009D506F" w:rsidRDefault="008516F2" w:rsidP="008516F2">
            <w:pPr>
              <w:autoSpaceDE w:val="0"/>
              <w:autoSpaceDN w:val="0"/>
              <w:adjustRightInd w:val="0"/>
              <w:spacing w:after="0" w:line="240" w:lineRule="auto"/>
              <w:ind w:left="367"/>
              <w:rPr>
                <w:rFonts w:asciiTheme="minorHAnsi" w:hAnsiTheme="minorHAnsi"/>
              </w:rPr>
            </w:pPr>
            <w:r w:rsidRPr="009D506F">
              <w:rPr>
                <w:rFonts w:asciiTheme="minorHAnsi" w:hAnsiTheme="minorHAnsi"/>
              </w:rPr>
              <w:t>Applications by employees for Government credit cards issued in card-holder’s name, whether for official travel expenses or for purchasing goods and services.  May include:</w:t>
            </w:r>
          </w:p>
          <w:p w14:paraId="14EF905F" w14:textId="77777777" w:rsidR="008516F2" w:rsidRPr="00AC7708" w:rsidRDefault="008516F2" w:rsidP="008516F2">
            <w:pPr>
              <w:pStyle w:val="ListParagraph"/>
              <w:numPr>
                <w:ilvl w:val="0"/>
                <w:numId w:val="34"/>
              </w:numPr>
              <w:autoSpaceDE w:val="0"/>
              <w:autoSpaceDN w:val="0"/>
              <w:adjustRightInd w:val="0"/>
              <w:spacing w:after="0" w:line="240" w:lineRule="auto"/>
              <w:ind w:left="665" w:hanging="270"/>
              <w:rPr>
                <w:rFonts w:asciiTheme="minorHAnsi" w:hAnsiTheme="minorHAnsi"/>
              </w:rPr>
            </w:pPr>
            <w:r w:rsidRPr="00AC7708">
              <w:rPr>
                <w:rFonts w:asciiTheme="minorHAnsi" w:hAnsiTheme="minorHAnsi"/>
              </w:rPr>
              <w:t>application for credit card</w:t>
            </w:r>
          </w:p>
          <w:p w14:paraId="4582515F" w14:textId="77777777" w:rsidR="008516F2" w:rsidRPr="00AC7708" w:rsidRDefault="008516F2" w:rsidP="008516F2">
            <w:pPr>
              <w:pStyle w:val="ListParagraph"/>
              <w:numPr>
                <w:ilvl w:val="0"/>
                <w:numId w:val="34"/>
              </w:numPr>
              <w:autoSpaceDE w:val="0"/>
              <w:autoSpaceDN w:val="0"/>
              <w:adjustRightInd w:val="0"/>
              <w:spacing w:after="0" w:line="240" w:lineRule="auto"/>
              <w:ind w:left="665" w:hanging="270"/>
              <w:rPr>
                <w:rFonts w:asciiTheme="minorHAnsi" w:hAnsiTheme="minorHAnsi"/>
              </w:rPr>
            </w:pPr>
            <w:r w:rsidRPr="00AC7708">
              <w:rPr>
                <w:rFonts w:asciiTheme="minorHAnsi" w:hAnsiTheme="minorHAnsi"/>
              </w:rPr>
              <w:t>credit release form</w:t>
            </w:r>
          </w:p>
          <w:p w14:paraId="33788094" w14:textId="77777777" w:rsidR="008516F2" w:rsidRPr="00AC7708" w:rsidRDefault="008516F2" w:rsidP="008516F2">
            <w:pPr>
              <w:pStyle w:val="ListParagraph"/>
              <w:numPr>
                <w:ilvl w:val="0"/>
                <w:numId w:val="34"/>
              </w:numPr>
              <w:autoSpaceDE w:val="0"/>
              <w:autoSpaceDN w:val="0"/>
              <w:adjustRightInd w:val="0"/>
              <w:spacing w:after="0" w:line="240" w:lineRule="auto"/>
              <w:ind w:left="665" w:hanging="270"/>
              <w:rPr>
                <w:rFonts w:asciiTheme="minorHAnsi" w:hAnsiTheme="minorHAnsi"/>
              </w:rPr>
            </w:pPr>
            <w:r w:rsidRPr="00AC7708">
              <w:rPr>
                <w:rFonts w:asciiTheme="minorHAnsi" w:hAnsiTheme="minorHAnsi"/>
              </w:rPr>
              <w:t>applicant credit report</w:t>
            </w:r>
          </w:p>
          <w:p w14:paraId="30E98A27" w14:textId="77777777" w:rsidR="008516F2" w:rsidRPr="00AC7708" w:rsidRDefault="008516F2" w:rsidP="008516F2">
            <w:pPr>
              <w:pStyle w:val="ListParagraph"/>
              <w:numPr>
                <w:ilvl w:val="0"/>
                <w:numId w:val="34"/>
              </w:numPr>
              <w:autoSpaceDE w:val="0"/>
              <w:autoSpaceDN w:val="0"/>
              <w:adjustRightInd w:val="0"/>
              <w:spacing w:after="0" w:line="240" w:lineRule="auto"/>
              <w:ind w:left="665" w:hanging="270"/>
              <w:rPr>
                <w:rFonts w:asciiTheme="minorHAnsi" w:hAnsiTheme="minorHAnsi"/>
              </w:rPr>
            </w:pPr>
            <w:r w:rsidRPr="00AC7708">
              <w:rPr>
                <w:rFonts w:asciiTheme="minorHAnsi" w:hAnsiTheme="minorHAnsi"/>
              </w:rPr>
              <w:t>cardholder agreement</w:t>
            </w:r>
          </w:p>
          <w:p w14:paraId="0A65D296" w14:textId="77777777" w:rsidR="008516F2" w:rsidRPr="00AC7708" w:rsidRDefault="008516F2" w:rsidP="008516F2">
            <w:pPr>
              <w:pStyle w:val="ListParagraph"/>
              <w:numPr>
                <w:ilvl w:val="0"/>
                <w:numId w:val="34"/>
              </w:numPr>
              <w:autoSpaceDE w:val="0"/>
              <w:autoSpaceDN w:val="0"/>
              <w:adjustRightInd w:val="0"/>
              <w:spacing w:after="0" w:line="240" w:lineRule="auto"/>
              <w:ind w:left="665" w:hanging="270"/>
              <w:rPr>
                <w:rFonts w:asciiTheme="minorHAnsi" w:hAnsiTheme="minorHAnsi"/>
              </w:rPr>
            </w:pPr>
            <w:r w:rsidRPr="00AC7708">
              <w:rPr>
                <w:rFonts w:asciiTheme="minorHAnsi" w:hAnsiTheme="minorHAnsi"/>
              </w:rPr>
              <w:t>acknowledgement of responsibilities and penalties for misuse</w:t>
            </w:r>
          </w:p>
          <w:p w14:paraId="7F4C84DA" w14:textId="77777777" w:rsidR="008516F2" w:rsidRPr="00AC7708" w:rsidRDefault="008516F2" w:rsidP="008516F2">
            <w:pPr>
              <w:pStyle w:val="ListParagraph"/>
              <w:numPr>
                <w:ilvl w:val="0"/>
                <w:numId w:val="34"/>
              </w:numPr>
              <w:autoSpaceDE w:val="0"/>
              <w:autoSpaceDN w:val="0"/>
              <w:adjustRightInd w:val="0"/>
              <w:spacing w:after="0" w:line="240" w:lineRule="auto"/>
              <w:ind w:left="665" w:hanging="270"/>
              <w:rPr>
                <w:rFonts w:asciiTheme="minorHAnsi" w:hAnsiTheme="minorHAnsi"/>
              </w:rPr>
            </w:pPr>
            <w:r w:rsidRPr="00AC7708">
              <w:rPr>
                <w:rFonts w:asciiTheme="minorHAnsi" w:hAnsiTheme="minorHAnsi"/>
              </w:rPr>
              <w:t>approving official agreement</w:t>
            </w:r>
          </w:p>
          <w:p w14:paraId="3591A086" w14:textId="77777777" w:rsidR="008516F2" w:rsidRPr="00AC7708" w:rsidRDefault="008516F2" w:rsidP="008516F2">
            <w:pPr>
              <w:pStyle w:val="ListParagraph"/>
              <w:numPr>
                <w:ilvl w:val="0"/>
                <w:numId w:val="34"/>
              </w:numPr>
              <w:autoSpaceDE w:val="0"/>
              <w:autoSpaceDN w:val="0"/>
              <w:adjustRightInd w:val="0"/>
              <w:spacing w:after="0" w:line="240" w:lineRule="auto"/>
              <w:ind w:left="665" w:hanging="270"/>
              <w:rPr>
                <w:rFonts w:asciiTheme="minorHAnsi" w:hAnsiTheme="minorHAnsi"/>
              </w:rPr>
            </w:pPr>
            <w:r w:rsidRPr="00AC7708">
              <w:rPr>
                <w:rFonts w:asciiTheme="minorHAnsi" w:hAnsiTheme="minorHAnsi"/>
              </w:rPr>
              <w:t>certificate of appointment (warrant)</w:t>
            </w:r>
          </w:p>
          <w:p w14:paraId="2EC7FBF0" w14:textId="77777777" w:rsidR="008516F2" w:rsidRPr="00AC7708" w:rsidRDefault="008516F2" w:rsidP="008516F2">
            <w:pPr>
              <w:pStyle w:val="ListParagraph"/>
              <w:numPr>
                <w:ilvl w:val="0"/>
                <w:numId w:val="34"/>
              </w:numPr>
              <w:autoSpaceDE w:val="0"/>
              <w:autoSpaceDN w:val="0"/>
              <w:adjustRightInd w:val="0"/>
              <w:spacing w:after="0" w:line="240" w:lineRule="auto"/>
              <w:ind w:left="665" w:hanging="270"/>
              <w:rPr>
                <w:rFonts w:asciiTheme="minorHAnsi" w:hAnsiTheme="minorHAnsi"/>
              </w:rPr>
            </w:pPr>
            <w:r w:rsidRPr="00AC7708">
              <w:rPr>
                <w:rFonts w:asciiTheme="minorHAnsi" w:hAnsiTheme="minorHAnsi"/>
              </w:rPr>
              <w:t>card training certificate</w:t>
            </w:r>
          </w:p>
        </w:tc>
        <w:tc>
          <w:tcPr>
            <w:tcW w:w="1890" w:type="dxa"/>
          </w:tcPr>
          <w:p w14:paraId="4918F610" w14:textId="77777777" w:rsidR="008516F2" w:rsidRPr="00C94042" w:rsidRDefault="008516F2" w:rsidP="008516F2">
            <w:pPr>
              <w:spacing w:after="0" w:line="240" w:lineRule="auto"/>
              <w:contextualSpacing/>
              <w:rPr>
                <w:rFonts w:asciiTheme="minorHAnsi" w:hAnsiTheme="minorHAnsi" w:cs="Arial"/>
                <w:b/>
              </w:rPr>
            </w:pPr>
            <w:r w:rsidRPr="006C26FD">
              <w:rPr>
                <w:b/>
              </w:rPr>
              <w:t>Temporary.</w:t>
            </w:r>
            <w:r>
              <w:t xml:space="preserve">  </w:t>
            </w:r>
            <w:r w:rsidRPr="009D506F">
              <w:t>Destroy upon card holder separation or when card is returned to office and destroyed, as appropriate, but longer retention is authorized if required for business use.</w:t>
            </w:r>
          </w:p>
        </w:tc>
        <w:tc>
          <w:tcPr>
            <w:tcW w:w="1260" w:type="dxa"/>
          </w:tcPr>
          <w:p w14:paraId="5DA48F6A" w14:textId="77777777" w:rsidR="008516F2" w:rsidRDefault="008516F2" w:rsidP="008516F2">
            <w:pPr>
              <w:spacing w:after="0" w:line="240" w:lineRule="auto"/>
              <w:rPr>
                <w:rFonts w:asciiTheme="minorHAnsi" w:hAnsiTheme="minorHAnsi"/>
              </w:rPr>
            </w:pPr>
            <w:r>
              <w:rPr>
                <w:rFonts w:asciiTheme="minorHAnsi" w:hAnsiTheme="minorHAnsi" w:cstheme="minorHAnsi"/>
              </w:rPr>
              <w:t>DAA-GRS-2018-0003-0001</w:t>
            </w:r>
          </w:p>
        </w:tc>
      </w:tr>
      <w:tr w:rsidR="008516F2" w:rsidRPr="0056338E" w14:paraId="29D367C0" w14:textId="77777777" w:rsidTr="00A47EEE">
        <w:tc>
          <w:tcPr>
            <w:tcW w:w="727" w:type="dxa"/>
          </w:tcPr>
          <w:p w14:paraId="6ECF08C4" w14:textId="77777777" w:rsidR="008516F2" w:rsidRDefault="008516F2" w:rsidP="008516F2">
            <w:pPr>
              <w:spacing w:after="0" w:line="240" w:lineRule="auto"/>
              <w:jc w:val="center"/>
            </w:pPr>
            <w:r>
              <w:t>100</w:t>
            </w:r>
          </w:p>
        </w:tc>
        <w:tc>
          <w:tcPr>
            <w:tcW w:w="10620" w:type="dxa"/>
            <w:gridSpan w:val="3"/>
          </w:tcPr>
          <w:p w14:paraId="17904157" w14:textId="77777777" w:rsidR="008516F2" w:rsidRPr="00231B31" w:rsidRDefault="008516F2" w:rsidP="008516F2">
            <w:pPr>
              <w:autoSpaceDE w:val="0"/>
              <w:autoSpaceDN w:val="0"/>
              <w:adjustRightInd w:val="0"/>
              <w:spacing w:after="0" w:line="240" w:lineRule="auto"/>
              <w:rPr>
                <w:rFonts w:cs="Century"/>
                <w:strike/>
                <w:color w:val="000000"/>
              </w:rPr>
            </w:pPr>
            <w:r w:rsidRPr="006C26FD">
              <w:rPr>
                <w:rFonts w:asciiTheme="minorHAnsi" w:hAnsiTheme="minorHAnsi"/>
                <w:b/>
              </w:rPr>
              <w:t>Sm</w:t>
            </w:r>
            <w:r w:rsidRPr="008B3A4E">
              <w:rPr>
                <w:rFonts w:asciiTheme="minorHAnsi" w:hAnsiTheme="minorHAnsi"/>
                <w:b/>
              </w:rPr>
              <w:t>all and Disadvantage</w:t>
            </w:r>
            <w:r>
              <w:rPr>
                <w:rFonts w:asciiTheme="minorHAnsi" w:hAnsiTheme="minorHAnsi"/>
                <w:b/>
              </w:rPr>
              <w:t>d Business Utilization records.</w:t>
            </w:r>
          </w:p>
          <w:p w14:paraId="14275D15" w14:textId="77777777" w:rsidR="008516F2" w:rsidRDefault="008516F2" w:rsidP="008516F2">
            <w:pPr>
              <w:spacing w:after="0" w:line="240" w:lineRule="auto"/>
              <w:ind w:left="367"/>
              <w:rPr>
                <w:rFonts w:cs="Century"/>
                <w:color w:val="000000"/>
              </w:rPr>
            </w:pPr>
            <w:r w:rsidRPr="008B3A4E">
              <w:rPr>
                <w:rFonts w:asciiTheme="minorHAnsi" w:hAnsiTheme="minorHAnsi"/>
              </w:rPr>
              <w:lastRenderedPageBreak/>
              <w:t xml:space="preserve">Records maintained by </w:t>
            </w:r>
            <w:r>
              <w:rPr>
                <w:rFonts w:asciiTheme="minorHAnsi" w:hAnsiTheme="minorHAnsi"/>
              </w:rPr>
              <w:t>o</w:t>
            </w:r>
            <w:r w:rsidRPr="008B3A4E">
              <w:rPr>
                <w:rFonts w:asciiTheme="minorHAnsi" w:hAnsiTheme="minorHAnsi"/>
              </w:rPr>
              <w:t>ffice</w:t>
            </w:r>
            <w:r w:rsidRPr="008B3A4E">
              <w:t>s</w:t>
            </w:r>
            <w:r w:rsidRPr="008B3A4E">
              <w:rPr>
                <w:rFonts w:asciiTheme="minorHAnsi" w:hAnsiTheme="minorHAnsi"/>
              </w:rPr>
              <w:t xml:space="preserve"> of Small and Disadvantaged Business Utilization</w:t>
            </w:r>
            <w:r w:rsidRPr="008B3A4E">
              <w:t xml:space="preserve"> (</w:t>
            </w:r>
            <w:r>
              <w:rPr>
                <w:rFonts w:asciiTheme="minorHAnsi" w:hAnsiTheme="minorHAnsi"/>
              </w:rPr>
              <w:t>o</w:t>
            </w:r>
            <w:r w:rsidRPr="008B3A4E">
              <w:rPr>
                <w:rFonts w:asciiTheme="minorHAnsi" w:hAnsiTheme="minorHAnsi"/>
              </w:rPr>
              <w:t>ffice</w:t>
            </w:r>
            <w:r>
              <w:rPr>
                <w:rFonts w:asciiTheme="minorHAnsi" w:hAnsiTheme="minorHAnsi"/>
              </w:rPr>
              <w:t>s</w:t>
            </w:r>
            <w:r w:rsidRPr="008B3A4E">
              <w:rPr>
                <w:rFonts w:asciiTheme="minorHAnsi" w:hAnsiTheme="minorHAnsi"/>
              </w:rPr>
              <w:t xml:space="preserve"> of Small Business Programs</w:t>
            </w:r>
            <w:r w:rsidRPr="008B3A4E">
              <w:t xml:space="preserve"> in </w:t>
            </w:r>
            <w:r w:rsidRPr="008B3A4E">
              <w:rPr>
                <w:rFonts w:asciiTheme="minorHAnsi" w:hAnsiTheme="minorHAnsi"/>
              </w:rPr>
              <w:t>the Department of Defense</w:t>
            </w:r>
            <w:r w:rsidRPr="008B3A4E">
              <w:t xml:space="preserve">) </w:t>
            </w:r>
            <w:r w:rsidRPr="008B3A4E">
              <w:rPr>
                <w:rFonts w:asciiTheme="minorHAnsi" w:hAnsiTheme="minorHAnsi"/>
              </w:rPr>
              <w:t>established pursuant to the Small Business Act</w:t>
            </w:r>
            <w:r>
              <w:rPr>
                <w:rFonts w:asciiTheme="minorHAnsi" w:hAnsiTheme="minorHAnsi"/>
              </w:rPr>
              <w:t xml:space="preserve"> (</w:t>
            </w:r>
            <w:r w:rsidRPr="00CF3550">
              <w:t>15 U.S.C. 644(k)</w:t>
            </w:r>
            <w:r>
              <w:t>, as supplemented)</w:t>
            </w:r>
            <w:r w:rsidRPr="008B3A4E">
              <w:rPr>
                <w:rFonts w:asciiTheme="minorHAnsi" w:hAnsiTheme="minorHAnsi"/>
              </w:rPr>
              <w:t>.</w:t>
            </w:r>
            <w:r w:rsidRPr="008B3A4E">
              <w:t xml:space="preserve"> </w:t>
            </w:r>
            <w:r>
              <w:t xml:space="preserve"> </w:t>
            </w:r>
            <w:r>
              <w:rPr>
                <w:rFonts w:cs="Century"/>
                <w:color w:val="000000"/>
              </w:rPr>
              <w:t>Includes:</w:t>
            </w:r>
          </w:p>
          <w:p w14:paraId="452AA421"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cs="Century"/>
                <w:color w:val="000000"/>
              </w:rPr>
              <w:t xml:space="preserve">inquiries or assistance requests from industry or the </w:t>
            </w:r>
            <w:proofErr w:type="gramStart"/>
            <w:r w:rsidRPr="00AC7708">
              <w:rPr>
                <w:rFonts w:cs="Century"/>
                <w:color w:val="000000"/>
              </w:rPr>
              <w:t>general public</w:t>
            </w:r>
            <w:proofErr w:type="gramEnd"/>
            <w:r w:rsidRPr="00AC7708">
              <w:rPr>
                <w:rFonts w:cs="Century"/>
                <w:color w:val="000000"/>
              </w:rPr>
              <w:t xml:space="preserve"> regarding small business contracting, subcontracting, or other funding opportunities</w:t>
            </w:r>
          </w:p>
          <w:p w14:paraId="0FE753FE"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asciiTheme="minorHAnsi" w:hAnsiTheme="minorHAnsi"/>
              </w:rPr>
              <w:t>materials negotiating and promoting small business contracting goals</w:t>
            </w:r>
          </w:p>
          <w:p w14:paraId="388DEE1F"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cs="Century"/>
                <w:color w:val="000000"/>
              </w:rPr>
              <w:t>records of outreach events such as workshops, conferences, specialized vendor outreach sessions, and award ceremonies</w:t>
            </w:r>
          </w:p>
          <w:p w14:paraId="37F4F39A"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cs="Century"/>
                <w:color w:val="000000"/>
              </w:rPr>
              <w:t>event evaluations, surveys, and other customer feedback</w:t>
            </w:r>
          </w:p>
          <w:p w14:paraId="4B323AB4"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asciiTheme="minorHAnsi" w:hAnsiTheme="minorHAnsi"/>
              </w:rPr>
              <w:t>reviews of proposed agency acquisitions for bundling and small business contracting opportunities</w:t>
            </w:r>
          </w:p>
          <w:p w14:paraId="6102EA79"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asciiTheme="minorHAnsi" w:hAnsiTheme="minorHAnsi" w:cs="Century"/>
                <w:color w:val="000000"/>
              </w:rPr>
              <w:t>spending management and goals</w:t>
            </w:r>
          </w:p>
          <w:p w14:paraId="47EA110D"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cs="Century"/>
                <w:color w:val="000000"/>
              </w:rPr>
              <w:t>forecasting and studies</w:t>
            </w:r>
          </w:p>
          <w:p w14:paraId="799D0B8B"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asciiTheme="minorHAnsi" w:hAnsiTheme="minorHAnsi"/>
              </w:rPr>
              <w:t>subcontracting and performance reports</w:t>
            </w:r>
          </w:p>
          <w:p w14:paraId="18D0BBF3"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asciiTheme="minorHAnsi" w:hAnsiTheme="minorHAnsi" w:cs="Calibri"/>
              </w:rPr>
              <w:t>data reported</w:t>
            </w:r>
            <w:r w:rsidRPr="00AC7708">
              <w:rPr>
                <w:rFonts w:cs="Calibri"/>
              </w:rPr>
              <w:t xml:space="preserve"> to and</w:t>
            </w:r>
            <w:r w:rsidRPr="00AC7708">
              <w:rPr>
                <w:rFonts w:asciiTheme="minorHAnsi" w:hAnsiTheme="minorHAnsi" w:cs="Calibri"/>
              </w:rPr>
              <w:t xml:space="preserve"> gathered from central reporting systems</w:t>
            </w:r>
            <w:r w:rsidRPr="00AC7708">
              <w:rPr>
                <w:rFonts w:cs="Calibri"/>
              </w:rPr>
              <w:t xml:space="preserve"> [</w:t>
            </w:r>
            <w:r w:rsidRPr="00AC7708">
              <w:rPr>
                <w:rFonts w:cs="Calibri"/>
                <w:i/>
              </w:rPr>
              <w:t>Note: the systems are scheduled by their owners, not the GRS</w:t>
            </w:r>
            <w:r w:rsidRPr="00AC7708">
              <w:rPr>
                <w:rFonts w:cs="Calibri"/>
              </w:rPr>
              <w:t>]</w:t>
            </w:r>
          </w:p>
          <w:p w14:paraId="1AC714D9"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entury"/>
              </w:rPr>
            </w:pPr>
            <w:r w:rsidRPr="00AC7708">
              <w:rPr>
                <w:rFonts w:cs="Century"/>
              </w:rPr>
              <w:t xml:space="preserve">program director’s </w:t>
            </w:r>
            <w:r w:rsidRPr="00AC7708">
              <w:rPr>
                <w:rFonts w:ascii="Arial" w:eastAsia="Times New Roman" w:hAnsi="Arial" w:cs="Arial"/>
                <w:sz w:val="20"/>
                <w:szCs w:val="20"/>
              </w:rPr>
              <w:t>recommendations to contracting officers regarding awards</w:t>
            </w:r>
          </w:p>
          <w:p w14:paraId="62778BD1"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entury"/>
              </w:rPr>
            </w:pPr>
            <w:r w:rsidRPr="00AC7708">
              <w:rPr>
                <w:rFonts w:cs="Century"/>
                <w:color w:val="000000"/>
              </w:rPr>
              <w:t>complaints and responses to them</w:t>
            </w:r>
          </w:p>
          <w:p w14:paraId="1F3BB99A"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entury"/>
              </w:rPr>
            </w:pPr>
            <w:r w:rsidRPr="00AC7708">
              <w:rPr>
                <w:rFonts w:asciiTheme="minorHAnsi" w:hAnsiTheme="minorHAnsi" w:cs="Century"/>
                <w:color w:val="000000"/>
              </w:rPr>
              <w:t xml:space="preserve">Small Business Administration requests </w:t>
            </w:r>
            <w:r w:rsidRPr="00AC7708">
              <w:rPr>
                <w:rFonts w:cs="Century"/>
                <w:color w:val="000000"/>
              </w:rPr>
              <w:t xml:space="preserve">or </w:t>
            </w:r>
            <w:r w:rsidRPr="00AC7708">
              <w:rPr>
                <w:rFonts w:asciiTheme="minorHAnsi" w:hAnsiTheme="minorHAnsi" w:cs="Century"/>
                <w:color w:val="000000"/>
              </w:rPr>
              <w:t xml:space="preserve">recommendations </w:t>
            </w:r>
            <w:r w:rsidRPr="00AC7708">
              <w:rPr>
                <w:rFonts w:cs="Century"/>
                <w:color w:val="000000"/>
              </w:rPr>
              <w:t>regarding</w:t>
            </w:r>
            <w:r w:rsidRPr="00AC7708">
              <w:rPr>
                <w:rFonts w:asciiTheme="minorHAnsi" w:hAnsiTheme="minorHAnsi" w:cs="Century"/>
                <w:color w:val="000000"/>
              </w:rPr>
              <w:t xml:space="preserve"> set-aside of contracts or requirements or changes in acquisition strategies</w:t>
            </w:r>
          </w:p>
          <w:p w14:paraId="514C1945"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asciiTheme="minorHAnsi" w:hAnsiTheme="minorHAnsi" w:cs="TimesNewRomanPSMT"/>
              </w:rPr>
            </w:pPr>
            <w:r w:rsidRPr="00AC7708">
              <w:rPr>
                <w:rFonts w:cs="Century"/>
                <w:color w:val="000000"/>
              </w:rPr>
              <w:t>r</w:t>
            </w:r>
            <w:r w:rsidRPr="00AC7708">
              <w:rPr>
                <w:rFonts w:asciiTheme="minorHAnsi" w:hAnsiTheme="minorHAnsi" w:cs="Century"/>
                <w:color w:val="000000"/>
              </w:rPr>
              <w:t xml:space="preserve">ecords </w:t>
            </w:r>
            <w:r w:rsidRPr="00AC7708">
              <w:rPr>
                <w:rFonts w:cs="Century"/>
                <w:color w:val="000000"/>
              </w:rPr>
              <w:t>documenting</w:t>
            </w:r>
            <w:r w:rsidRPr="00AC7708">
              <w:rPr>
                <w:rFonts w:asciiTheme="minorHAnsi" w:hAnsiTheme="minorHAnsi" w:cs="Century"/>
                <w:color w:val="000000"/>
              </w:rPr>
              <w:t xml:space="preserve"> receipt and referral of unsolicited proposals </w:t>
            </w:r>
            <w:r w:rsidRPr="00AC7708">
              <w:rPr>
                <w:rFonts w:cs="Century"/>
                <w:color w:val="000000"/>
              </w:rPr>
              <w:t>or</w:t>
            </w:r>
            <w:r w:rsidRPr="00AC7708">
              <w:rPr>
                <w:rFonts w:asciiTheme="minorHAnsi" w:hAnsiTheme="minorHAnsi" w:cs="Century"/>
                <w:color w:val="000000"/>
              </w:rPr>
              <w:t xml:space="preserve"> small business capability statements containing proprietary or conf</w:t>
            </w:r>
            <w:r w:rsidRPr="00AC7708">
              <w:rPr>
                <w:rFonts w:cs="Century"/>
                <w:color w:val="000000"/>
              </w:rPr>
              <w:t>idential contractor information</w:t>
            </w:r>
          </w:p>
          <w:p w14:paraId="6F723B1D"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cs="Century"/>
                <w:color w:val="000000"/>
              </w:rPr>
              <w:t>communications with the Small Business Administration Enforcement Ombudsman, per Public Law 104-121, section 30(b)(2)</w:t>
            </w:r>
          </w:p>
          <w:p w14:paraId="0C52B994" w14:textId="77777777" w:rsidR="008516F2" w:rsidRPr="00AC7708" w:rsidRDefault="008516F2" w:rsidP="00EE4566">
            <w:pPr>
              <w:pStyle w:val="ListParagraph"/>
              <w:numPr>
                <w:ilvl w:val="0"/>
                <w:numId w:val="35"/>
              </w:numPr>
              <w:tabs>
                <w:tab w:val="left" w:pos="679"/>
              </w:tabs>
              <w:autoSpaceDE w:val="0"/>
              <w:autoSpaceDN w:val="0"/>
              <w:adjustRightInd w:val="0"/>
              <w:spacing w:after="0" w:line="240" w:lineRule="auto"/>
              <w:ind w:left="661" w:hanging="266"/>
              <w:rPr>
                <w:rFonts w:cs="Calibri"/>
              </w:rPr>
            </w:pPr>
            <w:r w:rsidRPr="00AC7708">
              <w:rPr>
                <w:rFonts w:cs="Century"/>
              </w:rPr>
              <w:t>correspondence</w:t>
            </w:r>
          </w:p>
        </w:tc>
        <w:tc>
          <w:tcPr>
            <w:tcW w:w="1890" w:type="dxa"/>
          </w:tcPr>
          <w:p w14:paraId="5CA627EC" w14:textId="77777777" w:rsidR="008516F2" w:rsidRPr="00C94042" w:rsidRDefault="008516F2" w:rsidP="008516F2">
            <w:pPr>
              <w:spacing w:after="0" w:line="240" w:lineRule="auto"/>
              <w:contextualSpacing/>
              <w:rPr>
                <w:rFonts w:asciiTheme="minorHAnsi" w:hAnsiTheme="minorHAnsi" w:cs="Arial"/>
                <w:b/>
              </w:rPr>
            </w:pPr>
            <w:r w:rsidRPr="006C26FD">
              <w:rPr>
                <w:b/>
              </w:rPr>
              <w:lastRenderedPageBreak/>
              <w:t>Temporary.</w:t>
            </w:r>
            <w:r>
              <w:t xml:space="preserve">  </w:t>
            </w:r>
            <w:r>
              <w:rPr>
                <w:rFonts w:cs="Calibri"/>
              </w:rPr>
              <w:t xml:space="preserve">Destroy when 3 years old, but </w:t>
            </w:r>
            <w:r>
              <w:rPr>
                <w:rFonts w:cs="Calibri"/>
              </w:rPr>
              <w:lastRenderedPageBreak/>
              <w:t>longer retention is authorized if required for business use.</w:t>
            </w:r>
          </w:p>
        </w:tc>
        <w:tc>
          <w:tcPr>
            <w:tcW w:w="1260" w:type="dxa"/>
          </w:tcPr>
          <w:p w14:paraId="6D567BAC" w14:textId="77777777" w:rsidR="008516F2" w:rsidRDefault="008516F2" w:rsidP="008516F2">
            <w:pPr>
              <w:spacing w:after="0" w:line="240" w:lineRule="auto"/>
              <w:rPr>
                <w:rFonts w:asciiTheme="minorHAnsi" w:hAnsiTheme="minorHAnsi"/>
              </w:rPr>
            </w:pPr>
            <w:r>
              <w:rPr>
                <w:rFonts w:asciiTheme="minorHAnsi" w:hAnsiTheme="minorHAnsi" w:cstheme="minorHAnsi"/>
              </w:rPr>
              <w:lastRenderedPageBreak/>
              <w:t>DAA-GRS-2018-0003-0002</w:t>
            </w:r>
          </w:p>
        </w:tc>
      </w:tr>
    </w:tbl>
    <w:p w14:paraId="2E400ABE" w14:textId="77777777" w:rsidR="00FC21AD" w:rsidRPr="0056338E" w:rsidRDefault="00FC21AD" w:rsidP="0056338E">
      <w:pPr>
        <w:spacing w:after="0" w:line="240" w:lineRule="auto"/>
        <w:rPr>
          <w:rFonts w:asciiTheme="minorHAnsi" w:hAnsiTheme="minorHAnsi"/>
        </w:rPr>
      </w:pPr>
    </w:p>
    <w:sectPr w:rsidR="00FC21AD" w:rsidRPr="0056338E" w:rsidSect="00F93972">
      <w:headerReference w:type="default" r:id="rId8"/>
      <w:footerReference w:type="default" r:id="rId9"/>
      <w:headerReference w:type="first" r:id="rId10"/>
      <w:footerReference w:type="first" r:id="rId11"/>
      <w:pgSz w:w="15840" w:h="12240" w:orient="landscape" w:code="1"/>
      <w:pgMar w:top="1008" w:right="1440" w:bottom="1008"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3B83" w14:textId="77777777" w:rsidR="00672C31" w:rsidRDefault="00672C31" w:rsidP="008F3172">
      <w:pPr>
        <w:spacing w:after="0" w:line="240" w:lineRule="auto"/>
      </w:pPr>
      <w:r>
        <w:separator/>
      </w:r>
    </w:p>
  </w:endnote>
  <w:endnote w:type="continuationSeparator" w:id="0">
    <w:p w14:paraId="67632308" w14:textId="77777777" w:rsidR="00672C31" w:rsidRDefault="00672C31"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9E5C" w14:textId="775F1363" w:rsidR="006C15E1" w:rsidRDefault="006C15E1" w:rsidP="00434A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7690"/>
      <w:docPartObj>
        <w:docPartGallery w:val="Page Numbers (Bottom of Page)"/>
        <w:docPartUnique/>
      </w:docPartObj>
    </w:sdtPr>
    <w:sdtEndPr/>
    <w:sdtContent>
      <w:p w14:paraId="455CD31C" w14:textId="77777777" w:rsidR="006C15E1" w:rsidRDefault="004E075E">
        <w:pPr>
          <w:pStyle w:val="Footer"/>
          <w:jc w:val="center"/>
        </w:pPr>
        <w:r>
          <w:fldChar w:fldCharType="begin"/>
        </w:r>
        <w:r w:rsidR="00434A55">
          <w:instrText xml:space="preserve"> PAGE   \* MERGEFORMAT </w:instrText>
        </w:r>
        <w:r>
          <w:fldChar w:fldCharType="separate"/>
        </w:r>
        <w:r w:rsidR="006C15E1">
          <w:rPr>
            <w:noProof/>
          </w:rPr>
          <w:t>4</w:t>
        </w:r>
        <w:r>
          <w:rPr>
            <w:noProof/>
          </w:rPr>
          <w:fldChar w:fldCharType="end"/>
        </w:r>
      </w:p>
    </w:sdtContent>
  </w:sdt>
  <w:p w14:paraId="151BB290" w14:textId="77777777" w:rsidR="006C15E1" w:rsidRDefault="006C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DDDE" w14:textId="77777777" w:rsidR="00672C31" w:rsidRDefault="00672C31" w:rsidP="008F3172">
      <w:pPr>
        <w:spacing w:after="0" w:line="240" w:lineRule="auto"/>
      </w:pPr>
      <w:r>
        <w:separator/>
      </w:r>
    </w:p>
  </w:footnote>
  <w:footnote w:type="continuationSeparator" w:id="0">
    <w:p w14:paraId="0FFC925B" w14:textId="77777777" w:rsidR="00672C31" w:rsidRDefault="00672C31"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D85D" w14:textId="5E420FF1" w:rsidR="00A31178" w:rsidRPr="00A31178" w:rsidRDefault="00D85B81" w:rsidP="00CE786E">
    <w:pPr>
      <w:pStyle w:val="Header"/>
      <w:tabs>
        <w:tab w:val="clear" w:pos="9360"/>
        <w:tab w:val="right" w:pos="13680"/>
      </w:tabs>
      <w:ind w:left="-720" w:right="-720"/>
      <w:rPr>
        <w:b/>
        <w:bCs/>
        <w:sz w:val="20"/>
        <w:szCs w:val="20"/>
      </w:rPr>
    </w:pPr>
    <w:r>
      <w:rPr>
        <w:b/>
        <w:bCs/>
        <w:sz w:val="20"/>
        <w:szCs w:val="20"/>
      </w:rPr>
      <w:t xml:space="preserve">Last updated in </w:t>
    </w:r>
    <w:r w:rsidR="00A31178" w:rsidRPr="00A31178">
      <w:rPr>
        <w:b/>
        <w:bCs/>
        <w:sz w:val="20"/>
        <w:szCs w:val="20"/>
      </w:rPr>
      <w:t xml:space="preserve">Transmittal No. </w:t>
    </w:r>
    <w:r w:rsidR="00CE786E">
      <w:rPr>
        <w:b/>
        <w:bCs/>
        <w:sz w:val="20"/>
        <w:szCs w:val="20"/>
      </w:rPr>
      <w:t>3</w:t>
    </w:r>
    <w:r w:rsidR="0091295D">
      <w:rPr>
        <w:b/>
        <w:bCs/>
        <w:sz w:val="20"/>
        <w:szCs w:val="20"/>
      </w:rPr>
      <w:t>1</w:t>
    </w:r>
    <w:r w:rsidR="00A31178" w:rsidRPr="00A31178">
      <w:rPr>
        <w:b/>
        <w:bCs/>
        <w:sz w:val="20"/>
        <w:szCs w:val="20"/>
      </w:rPr>
      <w:tab/>
    </w:r>
    <w:r w:rsidR="00A31178" w:rsidRPr="00A31178">
      <w:rPr>
        <w:b/>
        <w:bCs/>
        <w:sz w:val="20"/>
        <w:szCs w:val="20"/>
      </w:rPr>
      <w:tab/>
      <w:t>General Records Schedule</w:t>
    </w:r>
    <w:r w:rsidR="00A31178">
      <w:rPr>
        <w:b/>
        <w:bCs/>
        <w:sz w:val="20"/>
        <w:szCs w:val="20"/>
      </w:rPr>
      <w:t xml:space="preserve"> 1.1</w:t>
    </w:r>
  </w:p>
  <w:p w14:paraId="2B762215" w14:textId="77777777" w:rsidR="00E90B99" w:rsidRDefault="00BD4958" w:rsidP="00A31178">
    <w:pPr>
      <w:pStyle w:val="Header"/>
      <w:ind w:left="-720"/>
      <w:rPr>
        <w:b/>
        <w:bCs/>
        <w:sz w:val="20"/>
        <w:szCs w:val="20"/>
      </w:rPr>
    </w:pPr>
    <w:r>
      <w:rPr>
        <w:b/>
        <w:bCs/>
        <w:sz w:val="20"/>
        <w:szCs w:val="20"/>
      </w:rPr>
      <w:t>April 2020</w:t>
    </w:r>
  </w:p>
  <w:p w14:paraId="6E063F3E" w14:textId="77777777" w:rsidR="00A31178" w:rsidRPr="00A31178" w:rsidRDefault="00A31178" w:rsidP="00A31178">
    <w:pPr>
      <w:pStyle w:val="Header"/>
      <w:ind w:left="-720"/>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39FC" w14:textId="77777777" w:rsidR="00A31178" w:rsidRPr="00A31178" w:rsidRDefault="00A31178" w:rsidP="00A31178">
    <w:pPr>
      <w:pStyle w:val="Header"/>
      <w:tabs>
        <w:tab w:val="clear" w:pos="9360"/>
        <w:tab w:val="right" w:pos="13680"/>
      </w:tabs>
      <w:ind w:left="-720"/>
      <w:rPr>
        <w:b/>
        <w:bCs/>
        <w:sz w:val="20"/>
        <w:szCs w:val="20"/>
      </w:rPr>
    </w:pPr>
    <w:r w:rsidRPr="00A31178">
      <w:rPr>
        <w:b/>
        <w:bCs/>
        <w:sz w:val="20"/>
        <w:szCs w:val="20"/>
      </w:rPr>
      <w:t>Transmittal No. 23</w:t>
    </w:r>
    <w:r w:rsidRPr="00A31178">
      <w:rPr>
        <w:b/>
        <w:bCs/>
        <w:sz w:val="20"/>
        <w:szCs w:val="20"/>
      </w:rPr>
      <w:tab/>
    </w:r>
    <w:r w:rsidRPr="00A31178">
      <w:rPr>
        <w:b/>
        <w:bCs/>
        <w:sz w:val="20"/>
        <w:szCs w:val="20"/>
      </w:rPr>
      <w:tab/>
      <w:t>General Records Schedule</w:t>
    </w:r>
    <w:r>
      <w:rPr>
        <w:b/>
        <w:bCs/>
        <w:sz w:val="20"/>
        <w:szCs w:val="20"/>
      </w:rPr>
      <w:t xml:space="preserve"> 1.1</w:t>
    </w:r>
  </w:p>
  <w:p w14:paraId="30693C0F" w14:textId="77777777" w:rsidR="00A31178" w:rsidRDefault="00A31178" w:rsidP="00A31178">
    <w:pPr>
      <w:pStyle w:val="Header"/>
      <w:ind w:left="-720"/>
      <w:rPr>
        <w:b/>
        <w:bCs/>
        <w:sz w:val="20"/>
        <w:szCs w:val="20"/>
      </w:rPr>
    </w:pPr>
    <w:r w:rsidRPr="00A31178">
      <w:rPr>
        <w:b/>
        <w:bCs/>
        <w:sz w:val="20"/>
        <w:szCs w:val="20"/>
      </w:rPr>
      <w:t>September 2014</w:t>
    </w:r>
  </w:p>
  <w:p w14:paraId="5031D82D" w14:textId="77777777" w:rsidR="00A31178" w:rsidRPr="00A31178" w:rsidRDefault="00A31178" w:rsidP="00A31178">
    <w:pPr>
      <w:pStyle w:val="Header"/>
      <w:ind w:left="-720"/>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E0CD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EE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E81D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546D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FA1A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F236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C078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A59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4BB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DC2F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231C5"/>
    <w:multiLevelType w:val="hybridMultilevel"/>
    <w:tmpl w:val="21C0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A6D32"/>
    <w:multiLevelType w:val="hybridMultilevel"/>
    <w:tmpl w:val="706C3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145C72"/>
    <w:multiLevelType w:val="hybridMultilevel"/>
    <w:tmpl w:val="B010E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6726DC"/>
    <w:multiLevelType w:val="hybridMultilevel"/>
    <w:tmpl w:val="FD8CA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2E375D"/>
    <w:multiLevelType w:val="hybridMultilevel"/>
    <w:tmpl w:val="61D4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8C35B6C"/>
    <w:multiLevelType w:val="hybridMultilevel"/>
    <w:tmpl w:val="1B248E94"/>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0" w15:restartNumberingAfterBreak="0">
    <w:nsid w:val="3D1D4045"/>
    <w:multiLevelType w:val="hybridMultilevel"/>
    <w:tmpl w:val="C260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1A5F77"/>
    <w:multiLevelType w:val="hybridMultilevel"/>
    <w:tmpl w:val="55540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E24F48"/>
    <w:multiLevelType w:val="hybridMultilevel"/>
    <w:tmpl w:val="72F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25"/>
  </w:num>
  <w:num w:numId="4">
    <w:abstractNumId w:val="23"/>
  </w:num>
  <w:num w:numId="5">
    <w:abstractNumId w:val="21"/>
  </w:num>
  <w:num w:numId="6">
    <w:abstractNumId w:val="13"/>
  </w:num>
  <w:num w:numId="7">
    <w:abstractNumId w:val="26"/>
  </w:num>
  <w:num w:numId="8">
    <w:abstractNumId w:val="33"/>
  </w:num>
  <w:num w:numId="9">
    <w:abstractNumId w:val="22"/>
  </w:num>
  <w:num w:numId="10">
    <w:abstractNumId w:val="32"/>
  </w:num>
  <w:num w:numId="11">
    <w:abstractNumId w:val="12"/>
  </w:num>
  <w:num w:numId="12">
    <w:abstractNumId w:val="18"/>
  </w:num>
  <w:num w:numId="13">
    <w:abstractNumId w:val="24"/>
  </w:num>
  <w:num w:numId="14">
    <w:abstractNumId w:val="29"/>
  </w:num>
  <w:num w:numId="15">
    <w:abstractNumId w:val="17"/>
  </w:num>
  <w:num w:numId="16">
    <w:abstractNumId w:val="34"/>
  </w:num>
  <w:num w:numId="17">
    <w:abstractNumId w:val="27"/>
  </w:num>
  <w:num w:numId="18">
    <w:abstractNumId w:val="15"/>
  </w:num>
  <w:num w:numId="19">
    <w:abstractNumId w:val="16"/>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11"/>
  </w:num>
  <w:num w:numId="33">
    <w:abstractNumId w:val="20"/>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72"/>
    <w:rsid w:val="00001807"/>
    <w:rsid w:val="000030AA"/>
    <w:rsid w:val="00012CD7"/>
    <w:rsid w:val="00022AAF"/>
    <w:rsid w:val="00040FBD"/>
    <w:rsid w:val="00054195"/>
    <w:rsid w:val="000860C2"/>
    <w:rsid w:val="00086890"/>
    <w:rsid w:val="000A45B2"/>
    <w:rsid w:val="000A49E8"/>
    <w:rsid w:val="000A6C12"/>
    <w:rsid w:val="000B02CC"/>
    <w:rsid w:val="000B4354"/>
    <w:rsid w:val="000E15C3"/>
    <w:rsid w:val="0011120D"/>
    <w:rsid w:val="001569D0"/>
    <w:rsid w:val="001575B4"/>
    <w:rsid w:val="00190785"/>
    <w:rsid w:val="001929E8"/>
    <w:rsid w:val="001F2529"/>
    <w:rsid w:val="0021295A"/>
    <w:rsid w:val="0023318E"/>
    <w:rsid w:val="002627B7"/>
    <w:rsid w:val="002852EC"/>
    <w:rsid w:val="002B0C8A"/>
    <w:rsid w:val="002C66C6"/>
    <w:rsid w:val="002C7DA5"/>
    <w:rsid w:val="00366EE0"/>
    <w:rsid w:val="003A3811"/>
    <w:rsid w:val="003D0136"/>
    <w:rsid w:val="00417CE7"/>
    <w:rsid w:val="00434A55"/>
    <w:rsid w:val="00443137"/>
    <w:rsid w:val="00460416"/>
    <w:rsid w:val="00475716"/>
    <w:rsid w:val="00484FFF"/>
    <w:rsid w:val="00485D96"/>
    <w:rsid w:val="00490567"/>
    <w:rsid w:val="004B0807"/>
    <w:rsid w:val="004B20E1"/>
    <w:rsid w:val="004C30CB"/>
    <w:rsid w:val="004D42E5"/>
    <w:rsid w:val="004E075E"/>
    <w:rsid w:val="0050230C"/>
    <w:rsid w:val="00507EAE"/>
    <w:rsid w:val="005225C6"/>
    <w:rsid w:val="00552BD0"/>
    <w:rsid w:val="0056338E"/>
    <w:rsid w:val="005C23CA"/>
    <w:rsid w:val="005C545B"/>
    <w:rsid w:val="0063599D"/>
    <w:rsid w:val="00661899"/>
    <w:rsid w:val="00672C31"/>
    <w:rsid w:val="006849C7"/>
    <w:rsid w:val="006A24F2"/>
    <w:rsid w:val="006A3355"/>
    <w:rsid w:val="006B3B92"/>
    <w:rsid w:val="006C15E1"/>
    <w:rsid w:val="006D1455"/>
    <w:rsid w:val="00714881"/>
    <w:rsid w:val="007357A5"/>
    <w:rsid w:val="00763E19"/>
    <w:rsid w:val="00783CD5"/>
    <w:rsid w:val="0079156E"/>
    <w:rsid w:val="007E7494"/>
    <w:rsid w:val="007F3C9F"/>
    <w:rsid w:val="0080238B"/>
    <w:rsid w:val="00842A84"/>
    <w:rsid w:val="00843809"/>
    <w:rsid w:val="008516F2"/>
    <w:rsid w:val="00877D44"/>
    <w:rsid w:val="008A50CD"/>
    <w:rsid w:val="008C098B"/>
    <w:rsid w:val="008F027C"/>
    <w:rsid w:val="008F3172"/>
    <w:rsid w:val="0090533F"/>
    <w:rsid w:val="009073C5"/>
    <w:rsid w:val="0091295D"/>
    <w:rsid w:val="00915C60"/>
    <w:rsid w:val="009237B0"/>
    <w:rsid w:val="00934C33"/>
    <w:rsid w:val="00943195"/>
    <w:rsid w:val="00976BA0"/>
    <w:rsid w:val="009931B6"/>
    <w:rsid w:val="0099779D"/>
    <w:rsid w:val="009B697F"/>
    <w:rsid w:val="009F6932"/>
    <w:rsid w:val="00A070FB"/>
    <w:rsid w:val="00A31178"/>
    <w:rsid w:val="00A33F64"/>
    <w:rsid w:val="00A4557A"/>
    <w:rsid w:val="00A47EEE"/>
    <w:rsid w:val="00A70096"/>
    <w:rsid w:val="00AC7708"/>
    <w:rsid w:val="00AD781B"/>
    <w:rsid w:val="00AE7F6E"/>
    <w:rsid w:val="00AF5CA1"/>
    <w:rsid w:val="00B03518"/>
    <w:rsid w:val="00B43268"/>
    <w:rsid w:val="00B52B9F"/>
    <w:rsid w:val="00B56974"/>
    <w:rsid w:val="00B62DF6"/>
    <w:rsid w:val="00B75E2E"/>
    <w:rsid w:val="00B804F9"/>
    <w:rsid w:val="00BC26EC"/>
    <w:rsid w:val="00BC50F2"/>
    <w:rsid w:val="00BD4958"/>
    <w:rsid w:val="00C022C2"/>
    <w:rsid w:val="00C06B48"/>
    <w:rsid w:val="00C12B45"/>
    <w:rsid w:val="00C43939"/>
    <w:rsid w:val="00C573A1"/>
    <w:rsid w:val="00C70BF4"/>
    <w:rsid w:val="00C754D5"/>
    <w:rsid w:val="00C84706"/>
    <w:rsid w:val="00CC3419"/>
    <w:rsid w:val="00CE0C70"/>
    <w:rsid w:val="00CE786E"/>
    <w:rsid w:val="00D10B88"/>
    <w:rsid w:val="00D3035A"/>
    <w:rsid w:val="00D5453A"/>
    <w:rsid w:val="00D5571E"/>
    <w:rsid w:val="00D60314"/>
    <w:rsid w:val="00D63187"/>
    <w:rsid w:val="00D75A83"/>
    <w:rsid w:val="00D85B81"/>
    <w:rsid w:val="00DB3A2D"/>
    <w:rsid w:val="00DB7BB6"/>
    <w:rsid w:val="00DC68B5"/>
    <w:rsid w:val="00DE3EDD"/>
    <w:rsid w:val="00DE4BE2"/>
    <w:rsid w:val="00E14523"/>
    <w:rsid w:val="00E22508"/>
    <w:rsid w:val="00E31F64"/>
    <w:rsid w:val="00E352F8"/>
    <w:rsid w:val="00E4039B"/>
    <w:rsid w:val="00E71B29"/>
    <w:rsid w:val="00E76B5A"/>
    <w:rsid w:val="00E90B99"/>
    <w:rsid w:val="00E95798"/>
    <w:rsid w:val="00EA31C0"/>
    <w:rsid w:val="00EA4792"/>
    <w:rsid w:val="00EC430C"/>
    <w:rsid w:val="00EE134A"/>
    <w:rsid w:val="00EE257D"/>
    <w:rsid w:val="00EE4124"/>
    <w:rsid w:val="00EE4566"/>
    <w:rsid w:val="00F1074F"/>
    <w:rsid w:val="00F21FAD"/>
    <w:rsid w:val="00F305FA"/>
    <w:rsid w:val="00F56A7C"/>
    <w:rsid w:val="00F93972"/>
    <w:rsid w:val="00FB30B9"/>
    <w:rsid w:val="00FB37C8"/>
    <w:rsid w:val="00FC21AD"/>
    <w:rsid w:val="00FE0ED5"/>
    <w:rsid w:val="00FE66A0"/>
    <w:rsid w:val="00FF05D8"/>
    <w:rsid w:val="00FF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29CF0"/>
  <w15:docId w15:val="{DD0BA5F3-03A9-430E-AF64-B4E60629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paragraph" w:styleId="Heading1">
    <w:name w:val="heading 1"/>
    <w:basedOn w:val="Normal"/>
    <w:next w:val="Normal"/>
    <w:link w:val="Heading1Char"/>
    <w:uiPriority w:val="9"/>
    <w:qFormat/>
    <w:rsid w:val="00F56A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56A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56A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56A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56A7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56A7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56A7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6A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6A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paragraph" w:styleId="Header">
    <w:name w:val="header"/>
    <w:basedOn w:val="Normal"/>
    <w:link w:val="HeaderChar"/>
    <w:uiPriority w:val="99"/>
    <w:unhideWhenUsed/>
    <w:rsid w:val="00EE4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24"/>
    <w:rPr>
      <w:sz w:val="22"/>
      <w:szCs w:val="22"/>
    </w:rPr>
  </w:style>
  <w:style w:type="paragraph" w:styleId="Footer">
    <w:name w:val="footer"/>
    <w:basedOn w:val="Normal"/>
    <w:link w:val="FooterChar"/>
    <w:uiPriority w:val="99"/>
    <w:unhideWhenUsed/>
    <w:rsid w:val="00EE4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24"/>
    <w:rPr>
      <w:sz w:val="22"/>
      <w:szCs w:val="22"/>
    </w:rPr>
  </w:style>
  <w:style w:type="paragraph" w:styleId="Bibliography">
    <w:name w:val="Bibliography"/>
    <w:basedOn w:val="Normal"/>
    <w:next w:val="Normal"/>
    <w:uiPriority w:val="37"/>
    <w:semiHidden/>
    <w:unhideWhenUsed/>
    <w:rsid w:val="00F56A7C"/>
  </w:style>
  <w:style w:type="paragraph" w:styleId="BlockText">
    <w:name w:val="Block Text"/>
    <w:basedOn w:val="Normal"/>
    <w:uiPriority w:val="99"/>
    <w:semiHidden/>
    <w:unhideWhenUsed/>
    <w:rsid w:val="00F56A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56A7C"/>
    <w:pPr>
      <w:spacing w:after="120"/>
    </w:pPr>
  </w:style>
  <w:style w:type="character" w:customStyle="1" w:styleId="BodyTextChar">
    <w:name w:val="Body Text Char"/>
    <w:basedOn w:val="DefaultParagraphFont"/>
    <w:link w:val="BodyText"/>
    <w:uiPriority w:val="99"/>
    <w:semiHidden/>
    <w:rsid w:val="00F56A7C"/>
    <w:rPr>
      <w:sz w:val="22"/>
      <w:szCs w:val="22"/>
    </w:rPr>
  </w:style>
  <w:style w:type="paragraph" w:styleId="BodyText2">
    <w:name w:val="Body Text 2"/>
    <w:basedOn w:val="Normal"/>
    <w:link w:val="BodyText2Char"/>
    <w:uiPriority w:val="99"/>
    <w:semiHidden/>
    <w:unhideWhenUsed/>
    <w:rsid w:val="00F56A7C"/>
    <w:pPr>
      <w:spacing w:after="120" w:line="480" w:lineRule="auto"/>
    </w:pPr>
  </w:style>
  <w:style w:type="character" w:customStyle="1" w:styleId="BodyText2Char">
    <w:name w:val="Body Text 2 Char"/>
    <w:basedOn w:val="DefaultParagraphFont"/>
    <w:link w:val="BodyText2"/>
    <w:uiPriority w:val="99"/>
    <w:semiHidden/>
    <w:rsid w:val="00F56A7C"/>
    <w:rPr>
      <w:sz w:val="22"/>
      <w:szCs w:val="22"/>
    </w:rPr>
  </w:style>
  <w:style w:type="paragraph" w:styleId="BodyText3">
    <w:name w:val="Body Text 3"/>
    <w:basedOn w:val="Normal"/>
    <w:link w:val="BodyText3Char"/>
    <w:uiPriority w:val="99"/>
    <w:semiHidden/>
    <w:unhideWhenUsed/>
    <w:rsid w:val="00F56A7C"/>
    <w:pPr>
      <w:spacing w:after="120"/>
    </w:pPr>
    <w:rPr>
      <w:sz w:val="16"/>
      <w:szCs w:val="16"/>
    </w:rPr>
  </w:style>
  <w:style w:type="character" w:customStyle="1" w:styleId="BodyText3Char">
    <w:name w:val="Body Text 3 Char"/>
    <w:basedOn w:val="DefaultParagraphFont"/>
    <w:link w:val="BodyText3"/>
    <w:uiPriority w:val="99"/>
    <w:semiHidden/>
    <w:rsid w:val="00F56A7C"/>
    <w:rPr>
      <w:sz w:val="16"/>
      <w:szCs w:val="16"/>
    </w:rPr>
  </w:style>
  <w:style w:type="paragraph" w:styleId="BodyTextFirstIndent">
    <w:name w:val="Body Text First Indent"/>
    <w:basedOn w:val="BodyText"/>
    <w:link w:val="BodyTextFirstIndentChar"/>
    <w:uiPriority w:val="99"/>
    <w:semiHidden/>
    <w:unhideWhenUsed/>
    <w:rsid w:val="00F56A7C"/>
    <w:pPr>
      <w:spacing w:after="200"/>
      <w:ind w:firstLine="360"/>
    </w:pPr>
  </w:style>
  <w:style w:type="character" w:customStyle="1" w:styleId="BodyTextFirstIndentChar">
    <w:name w:val="Body Text First Indent Char"/>
    <w:basedOn w:val="BodyTextChar"/>
    <w:link w:val="BodyTextFirstIndent"/>
    <w:uiPriority w:val="99"/>
    <w:semiHidden/>
    <w:rsid w:val="00F56A7C"/>
    <w:rPr>
      <w:sz w:val="22"/>
      <w:szCs w:val="22"/>
    </w:rPr>
  </w:style>
  <w:style w:type="paragraph" w:styleId="BodyTextIndent">
    <w:name w:val="Body Text Indent"/>
    <w:basedOn w:val="Normal"/>
    <w:link w:val="BodyTextIndentChar"/>
    <w:uiPriority w:val="99"/>
    <w:semiHidden/>
    <w:unhideWhenUsed/>
    <w:rsid w:val="00F56A7C"/>
    <w:pPr>
      <w:spacing w:after="120"/>
      <w:ind w:left="360"/>
    </w:pPr>
  </w:style>
  <w:style w:type="character" w:customStyle="1" w:styleId="BodyTextIndentChar">
    <w:name w:val="Body Text Indent Char"/>
    <w:basedOn w:val="DefaultParagraphFont"/>
    <w:link w:val="BodyTextIndent"/>
    <w:uiPriority w:val="99"/>
    <w:semiHidden/>
    <w:rsid w:val="00F56A7C"/>
    <w:rPr>
      <w:sz w:val="22"/>
      <w:szCs w:val="22"/>
    </w:rPr>
  </w:style>
  <w:style w:type="paragraph" w:styleId="BodyTextFirstIndent2">
    <w:name w:val="Body Text First Indent 2"/>
    <w:basedOn w:val="BodyTextIndent"/>
    <w:link w:val="BodyTextFirstIndent2Char"/>
    <w:uiPriority w:val="99"/>
    <w:semiHidden/>
    <w:unhideWhenUsed/>
    <w:rsid w:val="00F56A7C"/>
    <w:pPr>
      <w:spacing w:after="200"/>
      <w:ind w:firstLine="360"/>
    </w:pPr>
  </w:style>
  <w:style w:type="character" w:customStyle="1" w:styleId="BodyTextFirstIndent2Char">
    <w:name w:val="Body Text First Indent 2 Char"/>
    <w:basedOn w:val="BodyTextIndentChar"/>
    <w:link w:val="BodyTextFirstIndent2"/>
    <w:uiPriority w:val="99"/>
    <w:semiHidden/>
    <w:rsid w:val="00F56A7C"/>
    <w:rPr>
      <w:sz w:val="22"/>
      <w:szCs w:val="22"/>
    </w:rPr>
  </w:style>
  <w:style w:type="paragraph" w:styleId="BodyTextIndent2">
    <w:name w:val="Body Text Indent 2"/>
    <w:basedOn w:val="Normal"/>
    <w:link w:val="BodyTextIndent2Char"/>
    <w:uiPriority w:val="99"/>
    <w:semiHidden/>
    <w:unhideWhenUsed/>
    <w:rsid w:val="00F56A7C"/>
    <w:pPr>
      <w:spacing w:after="120" w:line="480" w:lineRule="auto"/>
      <w:ind w:left="360"/>
    </w:pPr>
  </w:style>
  <w:style w:type="character" w:customStyle="1" w:styleId="BodyTextIndent2Char">
    <w:name w:val="Body Text Indent 2 Char"/>
    <w:basedOn w:val="DefaultParagraphFont"/>
    <w:link w:val="BodyTextIndent2"/>
    <w:uiPriority w:val="99"/>
    <w:semiHidden/>
    <w:rsid w:val="00F56A7C"/>
    <w:rPr>
      <w:sz w:val="22"/>
      <w:szCs w:val="22"/>
    </w:rPr>
  </w:style>
  <w:style w:type="paragraph" w:styleId="BodyTextIndent3">
    <w:name w:val="Body Text Indent 3"/>
    <w:basedOn w:val="Normal"/>
    <w:link w:val="BodyTextIndent3Char"/>
    <w:uiPriority w:val="99"/>
    <w:semiHidden/>
    <w:unhideWhenUsed/>
    <w:rsid w:val="00F56A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6A7C"/>
    <w:rPr>
      <w:sz w:val="16"/>
      <w:szCs w:val="16"/>
    </w:rPr>
  </w:style>
  <w:style w:type="paragraph" w:styleId="Caption">
    <w:name w:val="caption"/>
    <w:basedOn w:val="Normal"/>
    <w:next w:val="Normal"/>
    <w:uiPriority w:val="35"/>
    <w:semiHidden/>
    <w:unhideWhenUsed/>
    <w:qFormat/>
    <w:rsid w:val="00F56A7C"/>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F56A7C"/>
    <w:pPr>
      <w:spacing w:after="0" w:line="240" w:lineRule="auto"/>
      <w:ind w:left="4320"/>
    </w:pPr>
  </w:style>
  <w:style w:type="character" w:customStyle="1" w:styleId="ClosingChar">
    <w:name w:val="Closing Char"/>
    <w:basedOn w:val="DefaultParagraphFont"/>
    <w:link w:val="Closing"/>
    <w:uiPriority w:val="99"/>
    <w:semiHidden/>
    <w:rsid w:val="00F56A7C"/>
    <w:rPr>
      <w:sz w:val="22"/>
      <w:szCs w:val="22"/>
    </w:rPr>
  </w:style>
  <w:style w:type="paragraph" w:styleId="Date">
    <w:name w:val="Date"/>
    <w:basedOn w:val="Normal"/>
    <w:next w:val="Normal"/>
    <w:link w:val="DateChar"/>
    <w:uiPriority w:val="99"/>
    <w:semiHidden/>
    <w:unhideWhenUsed/>
    <w:rsid w:val="00F56A7C"/>
  </w:style>
  <w:style w:type="character" w:customStyle="1" w:styleId="DateChar">
    <w:name w:val="Date Char"/>
    <w:basedOn w:val="DefaultParagraphFont"/>
    <w:link w:val="Date"/>
    <w:uiPriority w:val="99"/>
    <w:semiHidden/>
    <w:rsid w:val="00F56A7C"/>
    <w:rPr>
      <w:sz w:val="22"/>
      <w:szCs w:val="22"/>
    </w:rPr>
  </w:style>
  <w:style w:type="paragraph" w:styleId="DocumentMap">
    <w:name w:val="Document Map"/>
    <w:basedOn w:val="Normal"/>
    <w:link w:val="DocumentMapChar"/>
    <w:uiPriority w:val="99"/>
    <w:semiHidden/>
    <w:unhideWhenUsed/>
    <w:rsid w:val="00F56A7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6A7C"/>
    <w:rPr>
      <w:rFonts w:ascii="Segoe UI" w:hAnsi="Segoe UI" w:cs="Segoe UI"/>
      <w:sz w:val="16"/>
      <w:szCs w:val="16"/>
    </w:rPr>
  </w:style>
  <w:style w:type="paragraph" w:styleId="E-mailSignature">
    <w:name w:val="E-mail Signature"/>
    <w:basedOn w:val="Normal"/>
    <w:link w:val="E-mailSignatureChar"/>
    <w:uiPriority w:val="99"/>
    <w:semiHidden/>
    <w:unhideWhenUsed/>
    <w:rsid w:val="00F56A7C"/>
    <w:pPr>
      <w:spacing w:after="0" w:line="240" w:lineRule="auto"/>
    </w:pPr>
  </w:style>
  <w:style w:type="character" w:customStyle="1" w:styleId="E-mailSignatureChar">
    <w:name w:val="E-mail Signature Char"/>
    <w:basedOn w:val="DefaultParagraphFont"/>
    <w:link w:val="E-mailSignature"/>
    <w:uiPriority w:val="99"/>
    <w:semiHidden/>
    <w:rsid w:val="00F56A7C"/>
    <w:rPr>
      <w:sz w:val="22"/>
      <w:szCs w:val="22"/>
    </w:rPr>
  </w:style>
  <w:style w:type="paragraph" w:styleId="EndnoteText">
    <w:name w:val="endnote text"/>
    <w:basedOn w:val="Normal"/>
    <w:link w:val="EndnoteTextChar"/>
    <w:uiPriority w:val="99"/>
    <w:semiHidden/>
    <w:unhideWhenUsed/>
    <w:rsid w:val="00F56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A7C"/>
  </w:style>
  <w:style w:type="paragraph" w:styleId="EnvelopeAddress">
    <w:name w:val="envelope address"/>
    <w:basedOn w:val="Normal"/>
    <w:uiPriority w:val="99"/>
    <w:semiHidden/>
    <w:unhideWhenUsed/>
    <w:rsid w:val="00F56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56A7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F56A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56A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56A7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56A7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56A7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56A7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56A7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56A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6A7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56A7C"/>
    <w:pPr>
      <w:spacing w:after="0" w:line="240" w:lineRule="auto"/>
    </w:pPr>
    <w:rPr>
      <w:i/>
      <w:iCs/>
    </w:rPr>
  </w:style>
  <w:style w:type="character" w:customStyle="1" w:styleId="HTMLAddressChar">
    <w:name w:val="HTML Address Char"/>
    <w:basedOn w:val="DefaultParagraphFont"/>
    <w:link w:val="HTMLAddress"/>
    <w:uiPriority w:val="99"/>
    <w:semiHidden/>
    <w:rsid w:val="00F56A7C"/>
    <w:rPr>
      <w:i/>
      <w:iCs/>
      <w:sz w:val="22"/>
      <w:szCs w:val="22"/>
    </w:rPr>
  </w:style>
  <w:style w:type="paragraph" w:styleId="HTMLPreformatted">
    <w:name w:val="HTML Preformatted"/>
    <w:basedOn w:val="Normal"/>
    <w:link w:val="HTMLPreformattedChar"/>
    <w:uiPriority w:val="99"/>
    <w:semiHidden/>
    <w:unhideWhenUsed/>
    <w:rsid w:val="00F56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6A7C"/>
    <w:rPr>
      <w:rFonts w:ascii="Consolas" w:hAnsi="Consolas"/>
    </w:rPr>
  </w:style>
  <w:style w:type="paragraph" w:styleId="Index1">
    <w:name w:val="index 1"/>
    <w:basedOn w:val="Normal"/>
    <w:next w:val="Normal"/>
    <w:autoRedefine/>
    <w:uiPriority w:val="99"/>
    <w:semiHidden/>
    <w:unhideWhenUsed/>
    <w:rsid w:val="00F56A7C"/>
    <w:pPr>
      <w:spacing w:after="0" w:line="240" w:lineRule="auto"/>
      <w:ind w:left="220" w:hanging="220"/>
    </w:pPr>
  </w:style>
  <w:style w:type="paragraph" w:styleId="Index2">
    <w:name w:val="index 2"/>
    <w:basedOn w:val="Normal"/>
    <w:next w:val="Normal"/>
    <w:autoRedefine/>
    <w:uiPriority w:val="99"/>
    <w:semiHidden/>
    <w:unhideWhenUsed/>
    <w:rsid w:val="00F56A7C"/>
    <w:pPr>
      <w:spacing w:after="0" w:line="240" w:lineRule="auto"/>
      <w:ind w:left="440" w:hanging="220"/>
    </w:pPr>
  </w:style>
  <w:style w:type="paragraph" w:styleId="Index3">
    <w:name w:val="index 3"/>
    <w:basedOn w:val="Normal"/>
    <w:next w:val="Normal"/>
    <w:autoRedefine/>
    <w:uiPriority w:val="99"/>
    <w:semiHidden/>
    <w:unhideWhenUsed/>
    <w:rsid w:val="00F56A7C"/>
    <w:pPr>
      <w:spacing w:after="0" w:line="240" w:lineRule="auto"/>
      <w:ind w:left="660" w:hanging="220"/>
    </w:pPr>
  </w:style>
  <w:style w:type="paragraph" w:styleId="Index4">
    <w:name w:val="index 4"/>
    <w:basedOn w:val="Normal"/>
    <w:next w:val="Normal"/>
    <w:autoRedefine/>
    <w:uiPriority w:val="99"/>
    <w:semiHidden/>
    <w:unhideWhenUsed/>
    <w:rsid w:val="00F56A7C"/>
    <w:pPr>
      <w:spacing w:after="0" w:line="240" w:lineRule="auto"/>
      <w:ind w:left="880" w:hanging="220"/>
    </w:pPr>
  </w:style>
  <w:style w:type="paragraph" w:styleId="Index5">
    <w:name w:val="index 5"/>
    <w:basedOn w:val="Normal"/>
    <w:next w:val="Normal"/>
    <w:autoRedefine/>
    <w:uiPriority w:val="99"/>
    <w:semiHidden/>
    <w:unhideWhenUsed/>
    <w:rsid w:val="00F56A7C"/>
    <w:pPr>
      <w:spacing w:after="0" w:line="240" w:lineRule="auto"/>
      <w:ind w:left="1100" w:hanging="220"/>
    </w:pPr>
  </w:style>
  <w:style w:type="paragraph" w:styleId="Index6">
    <w:name w:val="index 6"/>
    <w:basedOn w:val="Normal"/>
    <w:next w:val="Normal"/>
    <w:autoRedefine/>
    <w:uiPriority w:val="99"/>
    <w:semiHidden/>
    <w:unhideWhenUsed/>
    <w:rsid w:val="00F56A7C"/>
    <w:pPr>
      <w:spacing w:after="0" w:line="240" w:lineRule="auto"/>
      <w:ind w:left="1320" w:hanging="220"/>
    </w:pPr>
  </w:style>
  <w:style w:type="paragraph" w:styleId="Index7">
    <w:name w:val="index 7"/>
    <w:basedOn w:val="Normal"/>
    <w:next w:val="Normal"/>
    <w:autoRedefine/>
    <w:uiPriority w:val="99"/>
    <w:semiHidden/>
    <w:unhideWhenUsed/>
    <w:rsid w:val="00F56A7C"/>
    <w:pPr>
      <w:spacing w:after="0" w:line="240" w:lineRule="auto"/>
      <w:ind w:left="1540" w:hanging="220"/>
    </w:pPr>
  </w:style>
  <w:style w:type="paragraph" w:styleId="Index8">
    <w:name w:val="index 8"/>
    <w:basedOn w:val="Normal"/>
    <w:next w:val="Normal"/>
    <w:autoRedefine/>
    <w:uiPriority w:val="99"/>
    <w:semiHidden/>
    <w:unhideWhenUsed/>
    <w:rsid w:val="00F56A7C"/>
    <w:pPr>
      <w:spacing w:after="0" w:line="240" w:lineRule="auto"/>
      <w:ind w:left="1760" w:hanging="220"/>
    </w:pPr>
  </w:style>
  <w:style w:type="paragraph" w:styleId="Index9">
    <w:name w:val="index 9"/>
    <w:basedOn w:val="Normal"/>
    <w:next w:val="Normal"/>
    <w:autoRedefine/>
    <w:uiPriority w:val="99"/>
    <w:semiHidden/>
    <w:unhideWhenUsed/>
    <w:rsid w:val="00F56A7C"/>
    <w:pPr>
      <w:spacing w:after="0" w:line="240" w:lineRule="auto"/>
      <w:ind w:left="1980" w:hanging="220"/>
    </w:pPr>
  </w:style>
  <w:style w:type="paragraph" w:styleId="IndexHeading">
    <w:name w:val="index heading"/>
    <w:basedOn w:val="Normal"/>
    <w:next w:val="Index1"/>
    <w:uiPriority w:val="99"/>
    <w:semiHidden/>
    <w:unhideWhenUsed/>
    <w:rsid w:val="00F56A7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56A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56A7C"/>
    <w:rPr>
      <w:i/>
      <w:iCs/>
      <w:color w:val="4F81BD" w:themeColor="accent1"/>
      <w:sz w:val="22"/>
      <w:szCs w:val="22"/>
    </w:rPr>
  </w:style>
  <w:style w:type="paragraph" w:styleId="List">
    <w:name w:val="List"/>
    <w:basedOn w:val="Normal"/>
    <w:uiPriority w:val="99"/>
    <w:semiHidden/>
    <w:unhideWhenUsed/>
    <w:rsid w:val="00F56A7C"/>
    <w:pPr>
      <w:ind w:left="360" w:hanging="360"/>
      <w:contextualSpacing/>
    </w:pPr>
  </w:style>
  <w:style w:type="paragraph" w:styleId="List2">
    <w:name w:val="List 2"/>
    <w:basedOn w:val="Normal"/>
    <w:uiPriority w:val="99"/>
    <w:semiHidden/>
    <w:unhideWhenUsed/>
    <w:rsid w:val="00F56A7C"/>
    <w:pPr>
      <w:ind w:left="720" w:hanging="360"/>
      <w:contextualSpacing/>
    </w:pPr>
  </w:style>
  <w:style w:type="paragraph" w:styleId="List3">
    <w:name w:val="List 3"/>
    <w:basedOn w:val="Normal"/>
    <w:uiPriority w:val="99"/>
    <w:semiHidden/>
    <w:unhideWhenUsed/>
    <w:rsid w:val="00F56A7C"/>
    <w:pPr>
      <w:ind w:left="1080" w:hanging="360"/>
      <w:contextualSpacing/>
    </w:pPr>
  </w:style>
  <w:style w:type="paragraph" w:styleId="List4">
    <w:name w:val="List 4"/>
    <w:basedOn w:val="Normal"/>
    <w:uiPriority w:val="99"/>
    <w:semiHidden/>
    <w:unhideWhenUsed/>
    <w:rsid w:val="00F56A7C"/>
    <w:pPr>
      <w:ind w:left="1440" w:hanging="360"/>
      <w:contextualSpacing/>
    </w:pPr>
  </w:style>
  <w:style w:type="paragraph" w:styleId="List5">
    <w:name w:val="List 5"/>
    <w:basedOn w:val="Normal"/>
    <w:uiPriority w:val="99"/>
    <w:semiHidden/>
    <w:unhideWhenUsed/>
    <w:rsid w:val="00F56A7C"/>
    <w:pPr>
      <w:ind w:left="1800" w:hanging="360"/>
      <w:contextualSpacing/>
    </w:pPr>
  </w:style>
  <w:style w:type="paragraph" w:styleId="ListBullet">
    <w:name w:val="List Bullet"/>
    <w:basedOn w:val="Normal"/>
    <w:uiPriority w:val="99"/>
    <w:semiHidden/>
    <w:unhideWhenUsed/>
    <w:rsid w:val="00F56A7C"/>
    <w:pPr>
      <w:numPr>
        <w:numId w:val="21"/>
      </w:numPr>
      <w:contextualSpacing/>
    </w:pPr>
  </w:style>
  <w:style w:type="paragraph" w:styleId="ListBullet2">
    <w:name w:val="List Bullet 2"/>
    <w:basedOn w:val="Normal"/>
    <w:uiPriority w:val="99"/>
    <w:semiHidden/>
    <w:unhideWhenUsed/>
    <w:rsid w:val="00F56A7C"/>
    <w:pPr>
      <w:numPr>
        <w:numId w:val="22"/>
      </w:numPr>
      <w:contextualSpacing/>
    </w:pPr>
  </w:style>
  <w:style w:type="paragraph" w:styleId="ListBullet3">
    <w:name w:val="List Bullet 3"/>
    <w:basedOn w:val="Normal"/>
    <w:uiPriority w:val="99"/>
    <w:semiHidden/>
    <w:unhideWhenUsed/>
    <w:rsid w:val="00F56A7C"/>
    <w:pPr>
      <w:numPr>
        <w:numId w:val="23"/>
      </w:numPr>
      <w:contextualSpacing/>
    </w:pPr>
  </w:style>
  <w:style w:type="paragraph" w:styleId="ListBullet4">
    <w:name w:val="List Bullet 4"/>
    <w:basedOn w:val="Normal"/>
    <w:uiPriority w:val="99"/>
    <w:semiHidden/>
    <w:unhideWhenUsed/>
    <w:rsid w:val="00F56A7C"/>
    <w:pPr>
      <w:numPr>
        <w:numId w:val="24"/>
      </w:numPr>
      <w:contextualSpacing/>
    </w:pPr>
  </w:style>
  <w:style w:type="paragraph" w:styleId="ListBullet5">
    <w:name w:val="List Bullet 5"/>
    <w:basedOn w:val="Normal"/>
    <w:uiPriority w:val="99"/>
    <w:semiHidden/>
    <w:unhideWhenUsed/>
    <w:rsid w:val="00F56A7C"/>
    <w:pPr>
      <w:numPr>
        <w:numId w:val="25"/>
      </w:numPr>
      <w:contextualSpacing/>
    </w:pPr>
  </w:style>
  <w:style w:type="paragraph" w:styleId="ListContinue">
    <w:name w:val="List Continue"/>
    <w:basedOn w:val="Normal"/>
    <w:uiPriority w:val="99"/>
    <w:semiHidden/>
    <w:unhideWhenUsed/>
    <w:rsid w:val="00F56A7C"/>
    <w:pPr>
      <w:spacing w:after="120"/>
      <w:ind w:left="360"/>
      <w:contextualSpacing/>
    </w:pPr>
  </w:style>
  <w:style w:type="paragraph" w:styleId="ListContinue2">
    <w:name w:val="List Continue 2"/>
    <w:basedOn w:val="Normal"/>
    <w:uiPriority w:val="99"/>
    <w:semiHidden/>
    <w:unhideWhenUsed/>
    <w:rsid w:val="00F56A7C"/>
    <w:pPr>
      <w:spacing w:after="120"/>
      <w:ind w:left="720"/>
      <w:contextualSpacing/>
    </w:pPr>
  </w:style>
  <w:style w:type="paragraph" w:styleId="ListContinue3">
    <w:name w:val="List Continue 3"/>
    <w:basedOn w:val="Normal"/>
    <w:uiPriority w:val="99"/>
    <w:semiHidden/>
    <w:unhideWhenUsed/>
    <w:rsid w:val="00F56A7C"/>
    <w:pPr>
      <w:spacing w:after="120"/>
      <w:ind w:left="1080"/>
      <w:contextualSpacing/>
    </w:pPr>
  </w:style>
  <w:style w:type="paragraph" w:styleId="ListContinue4">
    <w:name w:val="List Continue 4"/>
    <w:basedOn w:val="Normal"/>
    <w:uiPriority w:val="99"/>
    <w:semiHidden/>
    <w:unhideWhenUsed/>
    <w:rsid w:val="00F56A7C"/>
    <w:pPr>
      <w:spacing w:after="120"/>
      <w:ind w:left="1440"/>
      <w:contextualSpacing/>
    </w:pPr>
  </w:style>
  <w:style w:type="paragraph" w:styleId="ListContinue5">
    <w:name w:val="List Continue 5"/>
    <w:basedOn w:val="Normal"/>
    <w:uiPriority w:val="99"/>
    <w:semiHidden/>
    <w:unhideWhenUsed/>
    <w:rsid w:val="00F56A7C"/>
    <w:pPr>
      <w:spacing w:after="120"/>
      <w:ind w:left="1800"/>
      <w:contextualSpacing/>
    </w:pPr>
  </w:style>
  <w:style w:type="paragraph" w:styleId="ListNumber">
    <w:name w:val="List Number"/>
    <w:basedOn w:val="Normal"/>
    <w:uiPriority w:val="99"/>
    <w:semiHidden/>
    <w:unhideWhenUsed/>
    <w:rsid w:val="00F56A7C"/>
    <w:pPr>
      <w:numPr>
        <w:numId w:val="26"/>
      </w:numPr>
      <w:contextualSpacing/>
    </w:pPr>
  </w:style>
  <w:style w:type="paragraph" w:styleId="ListNumber2">
    <w:name w:val="List Number 2"/>
    <w:basedOn w:val="Normal"/>
    <w:uiPriority w:val="99"/>
    <w:semiHidden/>
    <w:unhideWhenUsed/>
    <w:rsid w:val="00F56A7C"/>
    <w:pPr>
      <w:numPr>
        <w:numId w:val="27"/>
      </w:numPr>
      <w:contextualSpacing/>
    </w:pPr>
  </w:style>
  <w:style w:type="paragraph" w:styleId="ListNumber3">
    <w:name w:val="List Number 3"/>
    <w:basedOn w:val="Normal"/>
    <w:uiPriority w:val="99"/>
    <w:semiHidden/>
    <w:unhideWhenUsed/>
    <w:rsid w:val="00F56A7C"/>
    <w:pPr>
      <w:numPr>
        <w:numId w:val="28"/>
      </w:numPr>
      <w:contextualSpacing/>
    </w:pPr>
  </w:style>
  <w:style w:type="paragraph" w:styleId="ListNumber4">
    <w:name w:val="List Number 4"/>
    <w:basedOn w:val="Normal"/>
    <w:uiPriority w:val="99"/>
    <w:semiHidden/>
    <w:unhideWhenUsed/>
    <w:rsid w:val="00F56A7C"/>
    <w:pPr>
      <w:numPr>
        <w:numId w:val="29"/>
      </w:numPr>
      <w:contextualSpacing/>
    </w:pPr>
  </w:style>
  <w:style w:type="paragraph" w:styleId="ListNumber5">
    <w:name w:val="List Number 5"/>
    <w:basedOn w:val="Normal"/>
    <w:uiPriority w:val="99"/>
    <w:semiHidden/>
    <w:unhideWhenUsed/>
    <w:rsid w:val="00F56A7C"/>
    <w:pPr>
      <w:numPr>
        <w:numId w:val="30"/>
      </w:numPr>
      <w:contextualSpacing/>
    </w:pPr>
  </w:style>
  <w:style w:type="paragraph" w:styleId="MacroText">
    <w:name w:val="macro"/>
    <w:link w:val="MacroTextChar"/>
    <w:uiPriority w:val="99"/>
    <w:semiHidden/>
    <w:unhideWhenUsed/>
    <w:rsid w:val="00F56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F56A7C"/>
    <w:rPr>
      <w:rFonts w:ascii="Consolas" w:hAnsi="Consolas"/>
    </w:rPr>
  </w:style>
  <w:style w:type="paragraph" w:styleId="MessageHeader">
    <w:name w:val="Message Header"/>
    <w:basedOn w:val="Normal"/>
    <w:link w:val="MessageHeaderChar"/>
    <w:uiPriority w:val="99"/>
    <w:semiHidden/>
    <w:unhideWhenUsed/>
    <w:rsid w:val="00F56A7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56A7C"/>
    <w:rPr>
      <w:rFonts w:asciiTheme="majorHAnsi" w:eastAsiaTheme="majorEastAsia" w:hAnsiTheme="majorHAnsi" w:cstheme="majorBidi"/>
      <w:sz w:val="24"/>
      <w:szCs w:val="24"/>
      <w:shd w:val="pct20" w:color="auto" w:fill="auto"/>
    </w:rPr>
  </w:style>
  <w:style w:type="paragraph" w:styleId="NoSpacing">
    <w:name w:val="No Spacing"/>
    <w:uiPriority w:val="1"/>
    <w:qFormat/>
    <w:rsid w:val="00F56A7C"/>
    <w:rPr>
      <w:sz w:val="22"/>
      <w:szCs w:val="22"/>
    </w:rPr>
  </w:style>
  <w:style w:type="paragraph" w:styleId="NormalWeb">
    <w:name w:val="Normal (Web)"/>
    <w:basedOn w:val="Normal"/>
    <w:uiPriority w:val="99"/>
    <w:semiHidden/>
    <w:unhideWhenUsed/>
    <w:rsid w:val="00F56A7C"/>
    <w:rPr>
      <w:rFonts w:ascii="Times New Roman" w:hAnsi="Times New Roman"/>
      <w:sz w:val="24"/>
      <w:szCs w:val="24"/>
    </w:rPr>
  </w:style>
  <w:style w:type="paragraph" w:styleId="NormalIndent">
    <w:name w:val="Normal Indent"/>
    <w:basedOn w:val="Normal"/>
    <w:uiPriority w:val="99"/>
    <w:semiHidden/>
    <w:unhideWhenUsed/>
    <w:rsid w:val="00F56A7C"/>
    <w:pPr>
      <w:ind w:left="720"/>
    </w:pPr>
  </w:style>
  <w:style w:type="paragraph" w:styleId="NoteHeading">
    <w:name w:val="Note Heading"/>
    <w:basedOn w:val="Normal"/>
    <w:next w:val="Normal"/>
    <w:link w:val="NoteHeadingChar"/>
    <w:uiPriority w:val="99"/>
    <w:semiHidden/>
    <w:unhideWhenUsed/>
    <w:rsid w:val="00F56A7C"/>
    <w:pPr>
      <w:spacing w:after="0" w:line="240" w:lineRule="auto"/>
    </w:pPr>
  </w:style>
  <w:style w:type="character" w:customStyle="1" w:styleId="NoteHeadingChar">
    <w:name w:val="Note Heading Char"/>
    <w:basedOn w:val="DefaultParagraphFont"/>
    <w:link w:val="NoteHeading"/>
    <w:uiPriority w:val="99"/>
    <w:semiHidden/>
    <w:rsid w:val="00F56A7C"/>
    <w:rPr>
      <w:sz w:val="22"/>
      <w:szCs w:val="22"/>
    </w:rPr>
  </w:style>
  <w:style w:type="paragraph" w:styleId="PlainText">
    <w:name w:val="Plain Text"/>
    <w:basedOn w:val="Normal"/>
    <w:link w:val="PlainTextChar"/>
    <w:uiPriority w:val="99"/>
    <w:semiHidden/>
    <w:unhideWhenUsed/>
    <w:rsid w:val="00F56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6A7C"/>
    <w:rPr>
      <w:rFonts w:ascii="Consolas" w:hAnsi="Consolas"/>
      <w:sz w:val="21"/>
      <w:szCs w:val="21"/>
    </w:rPr>
  </w:style>
  <w:style w:type="paragraph" w:styleId="Quote">
    <w:name w:val="Quote"/>
    <w:basedOn w:val="Normal"/>
    <w:next w:val="Normal"/>
    <w:link w:val="QuoteChar"/>
    <w:uiPriority w:val="29"/>
    <w:qFormat/>
    <w:rsid w:val="00F56A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6A7C"/>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F56A7C"/>
  </w:style>
  <w:style w:type="character" w:customStyle="1" w:styleId="SalutationChar">
    <w:name w:val="Salutation Char"/>
    <w:basedOn w:val="DefaultParagraphFont"/>
    <w:link w:val="Salutation"/>
    <w:uiPriority w:val="99"/>
    <w:semiHidden/>
    <w:rsid w:val="00F56A7C"/>
    <w:rPr>
      <w:sz w:val="22"/>
      <w:szCs w:val="22"/>
    </w:rPr>
  </w:style>
  <w:style w:type="paragraph" w:styleId="Signature">
    <w:name w:val="Signature"/>
    <w:basedOn w:val="Normal"/>
    <w:link w:val="SignatureChar"/>
    <w:uiPriority w:val="99"/>
    <w:semiHidden/>
    <w:unhideWhenUsed/>
    <w:rsid w:val="00F56A7C"/>
    <w:pPr>
      <w:spacing w:after="0" w:line="240" w:lineRule="auto"/>
      <w:ind w:left="4320"/>
    </w:pPr>
  </w:style>
  <w:style w:type="character" w:customStyle="1" w:styleId="SignatureChar">
    <w:name w:val="Signature Char"/>
    <w:basedOn w:val="DefaultParagraphFont"/>
    <w:link w:val="Signature"/>
    <w:uiPriority w:val="99"/>
    <w:semiHidden/>
    <w:rsid w:val="00F56A7C"/>
    <w:rPr>
      <w:sz w:val="22"/>
      <w:szCs w:val="22"/>
    </w:rPr>
  </w:style>
  <w:style w:type="paragraph" w:styleId="Subtitle">
    <w:name w:val="Subtitle"/>
    <w:basedOn w:val="Normal"/>
    <w:next w:val="Normal"/>
    <w:link w:val="SubtitleChar"/>
    <w:uiPriority w:val="11"/>
    <w:qFormat/>
    <w:rsid w:val="00F56A7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56A7C"/>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F56A7C"/>
    <w:pPr>
      <w:spacing w:after="0"/>
      <w:ind w:left="220" w:hanging="220"/>
    </w:pPr>
  </w:style>
  <w:style w:type="paragraph" w:styleId="TableofFigures">
    <w:name w:val="table of figures"/>
    <w:basedOn w:val="Normal"/>
    <w:next w:val="Normal"/>
    <w:uiPriority w:val="99"/>
    <w:semiHidden/>
    <w:unhideWhenUsed/>
    <w:rsid w:val="00F56A7C"/>
    <w:pPr>
      <w:spacing w:after="0"/>
    </w:pPr>
  </w:style>
  <w:style w:type="paragraph" w:styleId="Title">
    <w:name w:val="Title"/>
    <w:basedOn w:val="Normal"/>
    <w:next w:val="Normal"/>
    <w:link w:val="TitleChar"/>
    <w:uiPriority w:val="10"/>
    <w:qFormat/>
    <w:rsid w:val="00F56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A7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56A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56A7C"/>
    <w:pPr>
      <w:spacing w:after="100"/>
    </w:pPr>
  </w:style>
  <w:style w:type="paragraph" w:styleId="TOC2">
    <w:name w:val="toc 2"/>
    <w:basedOn w:val="Normal"/>
    <w:next w:val="Normal"/>
    <w:autoRedefine/>
    <w:uiPriority w:val="39"/>
    <w:semiHidden/>
    <w:unhideWhenUsed/>
    <w:rsid w:val="00F56A7C"/>
    <w:pPr>
      <w:spacing w:after="100"/>
      <w:ind w:left="220"/>
    </w:pPr>
  </w:style>
  <w:style w:type="paragraph" w:styleId="TOC3">
    <w:name w:val="toc 3"/>
    <w:basedOn w:val="Normal"/>
    <w:next w:val="Normal"/>
    <w:autoRedefine/>
    <w:uiPriority w:val="39"/>
    <w:semiHidden/>
    <w:unhideWhenUsed/>
    <w:rsid w:val="00F56A7C"/>
    <w:pPr>
      <w:spacing w:after="100"/>
      <w:ind w:left="440"/>
    </w:pPr>
  </w:style>
  <w:style w:type="paragraph" w:styleId="TOC4">
    <w:name w:val="toc 4"/>
    <w:basedOn w:val="Normal"/>
    <w:next w:val="Normal"/>
    <w:autoRedefine/>
    <w:uiPriority w:val="39"/>
    <w:semiHidden/>
    <w:unhideWhenUsed/>
    <w:rsid w:val="00F56A7C"/>
    <w:pPr>
      <w:spacing w:after="100"/>
      <w:ind w:left="660"/>
    </w:pPr>
  </w:style>
  <w:style w:type="paragraph" w:styleId="TOC5">
    <w:name w:val="toc 5"/>
    <w:basedOn w:val="Normal"/>
    <w:next w:val="Normal"/>
    <w:autoRedefine/>
    <w:uiPriority w:val="39"/>
    <w:semiHidden/>
    <w:unhideWhenUsed/>
    <w:rsid w:val="00F56A7C"/>
    <w:pPr>
      <w:spacing w:after="100"/>
      <w:ind w:left="880"/>
    </w:pPr>
  </w:style>
  <w:style w:type="paragraph" w:styleId="TOC6">
    <w:name w:val="toc 6"/>
    <w:basedOn w:val="Normal"/>
    <w:next w:val="Normal"/>
    <w:autoRedefine/>
    <w:uiPriority w:val="39"/>
    <w:semiHidden/>
    <w:unhideWhenUsed/>
    <w:rsid w:val="00F56A7C"/>
    <w:pPr>
      <w:spacing w:after="100"/>
      <w:ind w:left="1100"/>
    </w:pPr>
  </w:style>
  <w:style w:type="paragraph" w:styleId="TOC7">
    <w:name w:val="toc 7"/>
    <w:basedOn w:val="Normal"/>
    <w:next w:val="Normal"/>
    <w:autoRedefine/>
    <w:uiPriority w:val="39"/>
    <w:semiHidden/>
    <w:unhideWhenUsed/>
    <w:rsid w:val="00F56A7C"/>
    <w:pPr>
      <w:spacing w:after="100"/>
      <w:ind w:left="1320"/>
    </w:pPr>
  </w:style>
  <w:style w:type="paragraph" w:styleId="TOC8">
    <w:name w:val="toc 8"/>
    <w:basedOn w:val="Normal"/>
    <w:next w:val="Normal"/>
    <w:autoRedefine/>
    <w:uiPriority w:val="39"/>
    <w:semiHidden/>
    <w:unhideWhenUsed/>
    <w:rsid w:val="00F56A7C"/>
    <w:pPr>
      <w:spacing w:after="100"/>
      <w:ind w:left="1540"/>
    </w:pPr>
  </w:style>
  <w:style w:type="paragraph" w:styleId="TOC9">
    <w:name w:val="toc 9"/>
    <w:basedOn w:val="Normal"/>
    <w:next w:val="Normal"/>
    <w:autoRedefine/>
    <w:uiPriority w:val="39"/>
    <w:semiHidden/>
    <w:unhideWhenUsed/>
    <w:rsid w:val="00F56A7C"/>
    <w:pPr>
      <w:spacing w:after="100"/>
      <w:ind w:left="1760"/>
    </w:pPr>
  </w:style>
  <w:style w:type="paragraph" w:styleId="TOCHeading">
    <w:name w:val="TOC Heading"/>
    <w:basedOn w:val="Heading1"/>
    <w:next w:val="Normal"/>
    <w:uiPriority w:val="39"/>
    <w:semiHidden/>
    <w:unhideWhenUsed/>
    <w:qFormat/>
    <w:rsid w:val="00F56A7C"/>
    <w:pPr>
      <w:outlineLvl w:val="9"/>
    </w:pPr>
  </w:style>
  <w:style w:type="paragraph" w:customStyle="1" w:styleId="Default">
    <w:name w:val="Default"/>
    <w:rsid w:val="00A47EE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5FB31-472F-47FF-B966-3006F85F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Archives and Records Administration (NARA)</dc:creator>
  <cp:keywords/>
  <dc:description/>
  <cp:lastModifiedBy>Katherene Kim</cp:lastModifiedBy>
  <cp:revision>3</cp:revision>
  <cp:lastPrinted>2016-08-02T13:24:00Z</cp:lastPrinted>
  <dcterms:created xsi:type="dcterms:W3CDTF">2022-02-28T14:39:00Z</dcterms:created>
  <dcterms:modified xsi:type="dcterms:W3CDTF">2022-03-11T20:57:00Z</dcterms:modified>
</cp:coreProperties>
</file>