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9F66" w14:textId="77777777" w:rsidR="0079156E" w:rsidRPr="008B514C" w:rsidRDefault="008F3172" w:rsidP="001F7073">
      <w:pPr>
        <w:spacing w:after="0" w:line="240" w:lineRule="auto"/>
        <w:jc w:val="center"/>
        <w:rPr>
          <w:b/>
          <w:sz w:val="36"/>
          <w:szCs w:val="36"/>
        </w:rPr>
      </w:pPr>
      <w:r w:rsidRPr="008B514C">
        <w:rPr>
          <w:b/>
          <w:sz w:val="36"/>
          <w:szCs w:val="36"/>
        </w:rPr>
        <w:t>GENERAL RECORDS SCHEDULE</w:t>
      </w:r>
      <w:r w:rsidR="00DC68B5" w:rsidRPr="008B514C">
        <w:rPr>
          <w:b/>
          <w:sz w:val="36"/>
          <w:szCs w:val="36"/>
        </w:rPr>
        <w:t xml:space="preserve"> 2.</w:t>
      </w:r>
      <w:r w:rsidR="00FA1738" w:rsidRPr="008B514C">
        <w:rPr>
          <w:b/>
          <w:sz w:val="36"/>
          <w:szCs w:val="36"/>
        </w:rPr>
        <w:t>5</w:t>
      </w:r>
      <w:r w:rsidR="00DC68B5" w:rsidRPr="008B514C">
        <w:rPr>
          <w:b/>
          <w:sz w:val="36"/>
          <w:szCs w:val="36"/>
        </w:rPr>
        <w:t xml:space="preserve">:  Employee </w:t>
      </w:r>
      <w:r w:rsidR="00FA1738" w:rsidRPr="008B514C">
        <w:rPr>
          <w:b/>
          <w:sz w:val="36"/>
          <w:szCs w:val="36"/>
        </w:rPr>
        <w:t>Separa</w:t>
      </w:r>
      <w:r w:rsidR="00DC68B5" w:rsidRPr="008B514C">
        <w:rPr>
          <w:b/>
          <w:sz w:val="36"/>
          <w:szCs w:val="36"/>
        </w:rPr>
        <w:t>tion Records</w:t>
      </w:r>
    </w:p>
    <w:p w14:paraId="42D10C8F" w14:textId="77777777" w:rsidR="00552BD0" w:rsidRPr="008B514C" w:rsidRDefault="00552BD0" w:rsidP="00DC68B5">
      <w:pPr>
        <w:spacing w:after="0" w:line="240" w:lineRule="auto"/>
        <w:rPr>
          <w:sz w:val="20"/>
          <w:szCs w:val="20"/>
        </w:rPr>
      </w:pPr>
    </w:p>
    <w:p w14:paraId="68DB9134" w14:textId="77777777" w:rsidR="00FA1738" w:rsidRDefault="00FA1738" w:rsidP="001F7073">
      <w:pPr>
        <w:spacing w:after="0" w:line="240" w:lineRule="auto"/>
      </w:pPr>
      <w:r w:rsidRPr="008B514C">
        <w:t xml:space="preserve">This schedule covers records created in the process of employees leaving Federal service whether that service status is career, temporary, or political appointment.  These records divide into two categories:  records of managing an employee separation program in general, and case files specific to individual separations.   Bullet lists describe records that </w:t>
      </w:r>
      <w:r w:rsidRPr="008B514C">
        <w:rPr>
          <w:i/>
        </w:rPr>
        <w:t>may</w:t>
      </w:r>
      <w:r w:rsidRPr="008B514C">
        <w:t xml:space="preserve"> be contained in these files.  They do not mean to convey that </w:t>
      </w:r>
      <w:proofErr w:type="gramStart"/>
      <w:r w:rsidRPr="008B514C">
        <w:t>all of</w:t>
      </w:r>
      <w:proofErr w:type="gramEnd"/>
      <w:r w:rsidRPr="008B514C">
        <w:t xml:space="preserve"> these records </w:t>
      </w:r>
      <w:r w:rsidRPr="008B514C">
        <w:rPr>
          <w:i/>
        </w:rPr>
        <w:t>must</w:t>
      </w:r>
      <w:r w:rsidRPr="008B514C">
        <w:t xml:space="preserve"> be contained in every file.  </w:t>
      </w:r>
      <w:proofErr w:type="gramStart"/>
      <w:r w:rsidRPr="008B514C">
        <w:t>In particular, records</w:t>
      </w:r>
      <w:proofErr w:type="gramEnd"/>
      <w:r w:rsidRPr="008B514C">
        <w:t xml:space="preserve"> pertinent to individual separating employees will vary depending on the type of service (career, temporary, or political appointment) and an employee’s responsibilities.</w:t>
      </w:r>
    </w:p>
    <w:p w14:paraId="4A5E6E21" w14:textId="77777777" w:rsidR="00A45140" w:rsidRDefault="00A45140" w:rsidP="001F7073">
      <w:pPr>
        <w:spacing w:after="0" w:line="240" w:lineRule="auto"/>
      </w:pPr>
    </w:p>
    <w:p w14:paraId="23B3B398" w14:textId="77777777" w:rsidR="00A45140" w:rsidRDefault="00A45140" w:rsidP="001F7073">
      <w:pPr>
        <w:spacing w:after="0" w:line="240" w:lineRule="auto"/>
      </w:pPr>
      <w:r w:rsidRPr="00A45140">
        <w:t>Agencies must offer any records created prior to January 1, 1921, to the National Archives and Records Administration (NARA) before applying disposition instructions in this schedule.</w:t>
      </w:r>
    </w:p>
    <w:p w14:paraId="3FFD8C42" w14:textId="77777777" w:rsidR="001078CF" w:rsidRPr="008B514C" w:rsidRDefault="001078CF" w:rsidP="001F7073">
      <w:pPr>
        <w:spacing w:after="0" w:line="240" w:lineRule="auto"/>
      </w:pPr>
    </w:p>
    <w:tbl>
      <w:tblPr>
        <w:tblW w:w="145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655"/>
        <w:gridCol w:w="6192"/>
        <w:gridCol w:w="3953"/>
        <w:gridCol w:w="2430"/>
        <w:gridCol w:w="1292"/>
      </w:tblGrid>
      <w:tr w:rsidR="003D7986" w:rsidRPr="008B514C" w14:paraId="5C276C62" w14:textId="77777777" w:rsidTr="003D7986">
        <w:trPr>
          <w:tblHeader/>
        </w:trPr>
        <w:tc>
          <w:tcPr>
            <w:tcW w:w="655" w:type="dxa"/>
            <w:shd w:val="clear" w:color="auto" w:fill="B6DDE8"/>
          </w:tcPr>
          <w:p w14:paraId="7CFAA919" w14:textId="77777777" w:rsidR="003D7986" w:rsidRPr="008B514C" w:rsidRDefault="003D7986" w:rsidP="008B514C">
            <w:pPr>
              <w:spacing w:after="0" w:line="240" w:lineRule="auto"/>
              <w:ind w:left="-18"/>
              <w:jc w:val="center"/>
              <w:rPr>
                <w:rFonts w:cstheme="minorHAnsi"/>
                <w:b/>
              </w:rPr>
            </w:pPr>
            <w:r w:rsidRPr="008B514C">
              <w:rPr>
                <w:rFonts w:cstheme="minorHAnsi"/>
                <w:b/>
              </w:rPr>
              <w:t>Item</w:t>
            </w:r>
          </w:p>
        </w:tc>
        <w:tc>
          <w:tcPr>
            <w:tcW w:w="10145" w:type="dxa"/>
            <w:gridSpan w:val="2"/>
            <w:shd w:val="clear" w:color="auto" w:fill="B6DDE8"/>
          </w:tcPr>
          <w:p w14:paraId="37361E37" w14:textId="77777777" w:rsidR="003D7986" w:rsidRPr="008B514C" w:rsidRDefault="003D7986" w:rsidP="00C06B48">
            <w:pPr>
              <w:spacing w:after="0" w:line="240" w:lineRule="auto"/>
              <w:rPr>
                <w:rFonts w:cstheme="minorHAnsi"/>
                <w:b/>
              </w:rPr>
            </w:pPr>
            <w:r w:rsidRPr="008B514C">
              <w:rPr>
                <w:rFonts w:cstheme="minorHAnsi"/>
                <w:b/>
              </w:rPr>
              <w:t>Records Description</w:t>
            </w:r>
          </w:p>
        </w:tc>
        <w:tc>
          <w:tcPr>
            <w:tcW w:w="2430" w:type="dxa"/>
            <w:shd w:val="clear" w:color="auto" w:fill="B6DDE8"/>
          </w:tcPr>
          <w:p w14:paraId="323200D1" w14:textId="77777777" w:rsidR="003D7986" w:rsidRPr="008B514C" w:rsidRDefault="003D7986" w:rsidP="0090533F">
            <w:pPr>
              <w:spacing w:after="0" w:line="240" w:lineRule="auto"/>
              <w:rPr>
                <w:rFonts w:cstheme="minorHAnsi"/>
                <w:b/>
              </w:rPr>
            </w:pPr>
            <w:r w:rsidRPr="008B514C">
              <w:rPr>
                <w:rFonts w:cstheme="minorHAnsi"/>
                <w:b/>
              </w:rPr>
              <w:t xml:space="preserve">Disposition Instruction </w:t>
            </w:r>
          </w:p>
        </w:tc>
        <w:tc>
          <w:tcPr>
            <w:tcW w:w="1292" w:type="dxa"/>
            <w:shd w:val="clear" w:color="auto" w:fill="B6DDE8"/>
          </w:tcPr>
          <w:p w14:paraId="43562DCA" w14:textId="77777777" w:rsidR="003D7986" w:rsidRPr="008B514C" w:rsidRDefault="003D7986" w:rsidP="003D7986">
            <w:pPr>
              <w:spacing w:after="0" w:line="240" w:lineRule="auto"/>
              <w:jc w:val="center"/>
              <w:rPr>
                <w:rFonts w:cstheme="minorHAnsi"/>
                <w:b/>
              </w:rPr>
            </w:pPr>
            <w:r w:rsidRPr="008B514C">
              <w:rPr>
                <w:rFonts w:cstheme="minorHAnsi"/>
                <w:b/>
              </w:rPr>
              <w:t>Disposition Authority</w:t>
            </w:r>
          </w:p>
        </w:tc>
      </w:tr>
      <w:tr w:rsidR="003D7986" w:rsidRPr="008B514C" w14:paraId="6DF716E5" w14:textId="77777777" w:rsidTr="003D7986">
        <w:tc>
          <w:tcPr>
            <w:tcW w:w="655" w:type="dxa"/>
          </w:tcPr>
          <w:p w14:paraId="6F75C8CF" w14:textId="77777777" w:rsidR="003D7986" w:rsidRPr="008B514C" w:rsidRDefault="001B56B0" w:rsidP="008E1476">
            <w:pPr>
              <w:spacing w:after="0" w:line="240" w:lineRule="auto"/>
              <w:jc w:val="center"/>
            </w:pPr>
            <w:r>
              <w:t>010</w:t>
            </w:r>
          </w:p>
        </w:tc>
        <w:tc>
          <w:tcPr>
            <w:tcW w:w="6192" w:type="dxa"/>
            <w:vMerge w:val="restart"/>
          </w:tcPr>
          <w:p w14:paraId="14A5ABE8" w14:textId="77777777" w:rsidR="003D7986" w:rsidRPr="008B514C" w:rsidRDefault="003D7986" w:rsidP="002C7DA5">
            <w:pPr>
              <w:spacing w:after="0" w:line="240" w:lineRule="auto"/>
              <w:rPr>
                <w:rFonts w:cstheme="minorHAnsi"/>
              </w:rPr>
            </w:pPr>
            <w:r w:rsidRPr="008B514C">
              <w:rPr>
                <w:b/>
              </w:rPr>
              <w:t xml:space="preserve">Separation </w:t>
            </w:r>
            <w:r w:rsidR="003B67D0">
              <w:rPr>
                <w:b/>
              </w:rPr>
              <w:t>p</w:t>
            </w:r>
            <w:r w:rsidRPr="008B514C">
              <w:rPr>
                <w:b/>
              </w:rPr>
              <w:t xml:space="preserve">rogram </w:t>
            </w:r>
            <w:r w:rsidR="003B67D0">
              <w:rPr>
                <w:b/>
              </w:rPr>
              <w:t>m</w:t>
            </w:r>
            <w:r w:rsidRPr="008B514C">
              <w:rPr>
                <w:b/>
              </w:rPr>
              <w:t xml:space="preserve">anagement </w:t>
            </w:r>
            <w:r w:rsidR="003B67D0">
              <w:rPr>
                <w:b/>
              </w:rPr>
              <w:t>r</w:t>
            </w:r>
            <w:r w:rsidRPr="008B514C">
              <w:rPr>
                <w:b/>
              </w:rPr>
              <w:t>ecords</w:t>
            </w:r>
            <w:r w:rsidRPr="008B514C">
              <w:rPr>
                <w:rFonts w:cstheme="minorHAnsi"/>
              </w:rPr>
              <w:t>.</w:t>
            </w:r>
          </w:p>
          <w:p w14:paraId="32C09CC1" w14:textId="77777777" w:rsidR="003D7986" w:rsidRPr="008B514C" w:rsidRDefault="003D7986" w:rsidP="00DE3EDD">
            <w:pPr>
              <w:spacing w:after="0" w:line="240" w:lineRule="auto"/>
              <w:ind w:left="342"/>
              <w:rPr>
                <w:rFonts w:cstheme="minorHAnsi"/>
              </w:rPr>
            </w:pPr>
            <w:r w:rsidRPr="008B514C">
              <w:rPr>
                <w:rFonts w:cs="TimesNewRomanPSMT"/>
              </w:rPr>
              <w:t>Records documenting the general work process</w:t>
            </w:r>
            <w:r w:rsidR="003B67D0">
              <w:rPr>
                <w:rFonts w:cs="TimesNewRomanPSMT"/>
              </w:rPr>
              <w:t xml:space="preserve"> to release</w:t>
            </w:r>
            <w:r w:rsidRPr="008B514C">
              <w:rPr>
                <w:rFonts w:cs="TimesNewRomanPSMT"/>
              </w:rPr>
              <w:t xml:space="preserve"> career, temporary, and political-appointment employees from employment status.   </w:t>
            </w:r>
            <w:r w:rsidRPr="008B514C">
              <w:rPr>
                <w:rFonts w:cstheme="minorHAnsi"/>
              </w:rPr>
              <w:t>Includes:</w:t>
            </w:r>
          </w:p>
          <w:p w14:paraId="224A57CE" w14:textId="77777777" w:rsidR="003D7986" w:rsidRPr="009876C6" w:rsidRDefault="003D7986" w:rsidP="00D8186E">
            <w:pPr>
              <w:numPr>
                <w:ilvl w:val="0"/>
                <w:numId w:val="17"/>
              </w:numPr>
              <w:tabs>
                <w:tab w:val="left" w:pos="580"/>
              </w:tabs>
              <w:spacing w:after="0" w:line="240" w:lineRule="auto"/>
              <w:ind w:left="760" w:hanging="423"/>
              <w:rPr>
                <w:rFonts w:cstheme="minorHAnsi"/>
              </w:rPr>
            </w:pPr>
            <w:r w:rsidRPr="008B514C">
              <w:t>registers of separation or transfers such as SF-2807, SF-3103, or similar records</w:t>
            </w:r>
            <w:r w:rsidRPr="008B514C">
              <w:rPr>
                <w:rFonts w:cstheme="minorHAnsi"/>
              </w:rPr>
              <w:t xml:space="preserve"> </w:t>
            </w:r>
          </w:p>
          <w:p w14:paraId="19173C73" w14:textId="77777777" w:rsidR="00EC03EA" w:rsidRPr="009876C6" w:rsidRDefault="00EC03EA" w:rsidP="00D8186E">
            <w:pPr>
              <w:numPr>
                <w:ilvl w:val="0"/>
                <w:numId w:val="17"/>
              </w:numPr>
              <w:tabs>
                <w:tab w:val="left" w:pos="580"/>
              </w:tabs>
              <w:spacing w:after="0" w:line="240" w:lineRule="auto"/>
              <w:ind w:left="760" w:hanging="423"/>
              <w:rPr>
                <w:rFonts w:cstheme="minorHAnsi"/>
              </w:rPr>
            </w:pPr>
            <w:r w:rsidRPr="009876C6">
              <w:rPr>
                <w:rFonts w:cstheme="minorHAnsi"/>
              </w:rPr>
              <w:t>retention registers and related records</w:t>
            </w:r>
          </w:p>
          <w:p w14:paraId="2B76CD9D" w14:textId="77777777" w:rsidR="003D7986" w:rsidRPr="008B514C" w:rsidRDefault="003D7986" w:rsidP="00D8186E">
            <w:pPr>
              <w:numPr>
                <w:ilvl w:val="0"/>
                <w:numId w:val="17"/>
              </w:numPr>
              <w:tabs>
                <w:tab w:val="left" w:pos="580"/>
              </w:tabs>
              <w:spacing w:after="0" w:line="240" w:lineRule="auto"/>
              <w:ind w:left="760" w:hanging="423"/>
              <w:rPr>
                <w:rFonts w:cstheme="minorHAnsi"/>
              </w:rPr>
            </w:pPr>
            <w:r w:rsidRPr="002E6C9A">
              <w:t>reports</w:t>
            </w:r>
            <w:r w:rsidR="002E6C9A" w:rsidRPr="002E6C9A">
              <w:t xml:space="preserve">, </w:t>
            </w:r>
            <w:proofErr w:type="gramStart"/>
            <w:r w:rsidR="002E6C9A" w:rsidRPr="002E6C9A">
              <w:t>correspondence</w:t>
            </w:r>
            <w:r w:rsidR="006F1A96">
              <w:t>,</w:t>
            </w:r>
            <w:r w:rsidR="002E6C9A" w:rsidRPr="002E6C9A">
              <w:t xml:space="preserve"> </w:t>
            </w:r>
            <w:r w:rsidRPr="002E6C9A">
              <w:t xml:space="preserve"> and</w:t>
            </w:r>
            <w:proofErr w:type="gramEnd"/>
            <w:r w:rsidRPr="008B514C">
              <w:t xml:space="preserve"> control documents</w:t>
            </w:r>
            <w:r w:rsidRPr="008B514C">
              <w:rPr>
                <w:rFonts w:cstheme="minorHAnsi"/>
              </w:rPr>
              <w:t xml:space="preserve"> </w:t>
            </w:r>
          </w:p>
          <w:p w14:paraId="07BABE9B" w14:textId="77777777" w:rsidR="003D7986" w:rsidRPr="00D57FAD" w:rsidRDefault="003D7986" w:rsidP="00D57FAD">
            <w:pPr>
              <w:numPr>
                <w:ilvl w:val="0"/>
                <w:numId w:val="17"/>
              </w:numPr>
              <w:tabs>
                <w:tab w:val="left" w:pos="580"/>
              </w:tabs>
              <w:spacing w:after="0" w:line="240" w:lineRule="auto"/>
              <w:ind w:left="760" w:hanging="423"/>
              <w:rPr>
                <w:rFonts w:cstheme="minorHAnsi"/>
              </w:rPr>
            </w:pPr>
            <w:r w:rsidRPr="008B514C">
              <w:rPr>
                <w:rFonts w:cs="TimesNewRomanPSMT"/>
              </w:rPr>
              <w:t>exit interview compilations identifying and tracking trends</w:t>
            </w:r>
            <w:r w:rsidRPr="008B514C">
              <w:rPr>
                <w:rFonts w:cstheme="minorHAnsi"/>
              </w:rPr>
              <w:t xml:space="preserve"> </w:t>
            </w:r>
          </w:p>
        </w:tc>
        <w:tc>
          <w:tcPr>
            <w:tcW w:w="3953" w:type="dxa"/>
          </w:tcPr>
          <w:p w14:paraId="222EE720" w14:textId="77777777" w:rsidR="003D7986" w:rsidRPr="00F73614" w:rsidRDefault="003D7986" w:rsidP="00FA1738">
            <w:pPr>
              <w:spacing w:after="0" w:line="240" w:lineRule="auto"/>
              <w:rPr>
                <w:rFonts w:cs="TimesNewRomanPSMT"/>
                <w:b/>
              </w:rPr>
            </w:pPr>
            <w:r w:rsidRPr="00F73614">
              <w:rPr>
                <w:rFonts w:cs="TimesNewRomanPSMT"/>
                <w:b/>
              </w:rPr>
              <w:t>Records not specific to an agency separation initiative.</w:t>
            </w:r>
          </w:p>
          <w:p w14:paraId="7C656D8B" w14:textId="77777777" w:rsidR="00BF6698" w:rsidRPr="00CF510B" w:rsidRDefault="00BF6698" w:rsidP="00BF6698">
            <w:pPr>
              <w:spacing w:after="0" w:line="240" w:lineRule="auto"/>
              <w:rPr>
                <w:rFonts w:cstheme="minorHAnsi"/>
              </w:rPr>
            </w:pPr>
          </w:p>
        </w:tc>
        <w:tc>
          <w:tcPr>
            <w:tcW w:w="2430" w:type="dxa"/>
          </w:tcPr>
          <w:p w14:paraId="5A28732B" w14:textId="77777777" w:rsidR="003D7986" w:rsidRDefault="003D7986" w:rsidP="00797028">
            <w:pPr>
              <w:spacing w:after="0" w:line="240" w:lineRule="auto"/>
            </w:pPr>
            <w:r w:rsidRPr="008B514C">
              <w:rPr>
                <w:b/>
              </w:rPr>
              <w:t>Temporary</w:t>
            </w:r>
            <w:r w:rsidRPr="008B514C">
              <w:t xml:space="preserve">.  Destroy when </w:t>
            </w:r>
            <w:r w:rsidR="00797028">
              <w:t xml:space="preserve">no longer </w:t>
            </w:r>
            <w:r w:rsidRPr="008B514C">
              <w:t>required for business use.</w:t>
            </w:r>
          </w:p>
          <w:p w14:paraId="5CD71442" w14:textId="77777777" w:rsidR="00CA0D53" w:rsidRPr="008B514C" w:rsidRDefault="00CA0D53" w:rsidP="00797028">
            <w:pPr>
              <w:spacing w:after="0" w:line="240" w:lineRule="auto"/>
              <w:rPr>
                <w:rFonts w:cstheme="minorHAnsi"/>
              </w:rPr>
            </w:pPr>
          </w:p>
        </w:tc>
        <w:tc>
          <w:tcPr>
            <w:tcW w:w="1292" w:type="dxa"/>
          </w:tcPr>
          <w:p w14:paraId="4231076F" w14:textId="77777777" w:rsidR="003D7986" w:rsidRPr="008B514C" w:rsidRDefault="009F2BE9" w:rsidP="009F2BE9">
            <w:pPr>
              <w:spacing w:after="0" w:line="240" w:lineRule="auto"/>
              <w:rPr>
                <w:rFonts w:cstheme="minorHAnsi"/>
              </w:rPr>
            </w:pPr>
            <w:r>
              <w:rPr>
                <w:rFonts w:cstheme="minorHAnsi"/>
              </w:rPr>
              <w:t>DAA-GRS-2014-</w:t>
            </w:r>
            <w:r w:rsidR="00B168DA">
              <w:rPr>
                <w:rFonts w:cstheme="minorHAnsi"/>
              </w:rPr>
              <w:t>0004-</w:t>
            </w:r>
            <w:r w:rsidR="003D7986" w:rsidRPr="008B514C">
              <w:rPr>
                <w:rFonts w:cstheme="minorHAnsi"/>
              </w:rPr>
              <w:t>0001</w:t>
            </w:r>
          </w:p>
        </w:tc>
      </w:tr>
      <w:tr w:rsidR="003D7986" w:rsidRPr="008B514C" w14:paraId="7C4593B3" w14:textId="77777777" w:rsidTr="003D7986">
        <w:tc>
          <w:tcPr>
            <w:tcW w:w="655" w:type="dxa"/>
          </w:tcPr>
          <w:p w14:paraId="3B364CC6" w14:textId="77777777" w:rsidR="003D7986" w:rsidRPr="008B514C" w:rsidRDefault="001B56B0" w:rsidP="008E1476">
            <w:pPr>
              <w:spacing w:after="0" w:line="240" w:lineRule="auto"/>
              <w:jc w:val="center"/>
              <w:rPr>
                <w:rFonts w:cstheme="minorHAnsi"/>
              </w:rPr>
            </w:pPr>
            <w:r>
              <w:rPr>
                <w:rFonts w:cstheme="minorHAnsi"/>
              </w:rPr>
              <w:t>011</w:t>
            </w:r>
          </w:p>
        </w:tc>
        <w:tc>
          <w:tcPr>
            <w:tcW w:w="6192" w:type="dxa"/>
            <w:vMerge/>
          </w:tcPr>
          <w:p w14:paraId="2D2C0BE4" w14:textId="77777777" w:rsidR="003D7986" w:rsidRPr="008B514C" w:rsidRDefault="003D7986" w:rsidP="00B75E2E">
            <w:pPr>
              <w:spacing w:after="0" w:line="240" w:lineRule="auto"/>
              <w:rPr>
                <w:rFonts w:cstheme="minorHAnsi"/>
              </w:rPr>
            </w:pPr>
          </w:p>
        </w:tc>
        <w:tc>
          <w:tcPr>
            <w:tcW w:w="3953" w:type="dxa"/>
          </w:tcPr>
          <w:p w14:paraId="0DD0FA01" w14:textId="77777777" w:rsidR="003D7986" w:rsidRPr="00F73614" w:rsidRDefault="003D7986" w:rsidP="002C7DA5">
            <w:pPr>
              <w:spacing w:after="0" w:line="240" w:lineRule="auto"/>
              <w:rPr>
                <w:rFonts w:cs="TimesNewRomanPSMT"/>
                <w:b/>
              </w:rPr>
            </w:pPr>
            <w:r w:rsidRPr="00F73614">
              <w:rPr>
                <w:rFonts w:cs="TimesNewRomanPSMT"/>
                <w:b/>
              </w:rPr>
              <w:t>Records specific to an agency separation initiative such as reduction-in-force, voluntary early retirement, voluntary separation, and similar programs.</w:t>
            </w:r>
          </w:p>
          <w:p w14:paraId="2513B97A" w14:textId="77777777" w:rsidR="00BF6698" w:rsidRPr="00CF510B" w:rsidRDefault="00BF6698" w:rsidP="002C7DA5">
            <w:pPr>
              <w:spacing w:after="0" w:line="240" w:lineRule="auto"/>
              <w:rPr>
                <w:rFonts w:cstheme="minorHAnsi"/>
              </w:rPr>
            </w:pPr>
          </w:p>
        </w:tc>
        <w:tc>
          <w:tcPr>
            <w:tcW w:w="2430" w:type="dxa"/>
          </w:tcPr>
          <w:p w14:paraId="00BF513F" w14:textId="77777777" w:rsidR="00CA0D53" w:rsidRPr="001507C2" w:rsidRDefault="003D7986" w:rsidP="009B697F">
            <w:pPr>
              <w:spacing w:after="0" w:line="240" w:lineRule="auto"/>
            </w:pPr>
            <w:r w:rsidRPr="008B514C">
              <w:rPr>
                <w:b/>
              </w:rPr>
              <w:t>Temporary</w:t>
            </w:r>
            <w:r w:rsidRPr="008B514C">
              <w:t>.  Destroy 2 years after date of program closure, but longer retention is authorized if required for business use.</w:t>
            </w:r>
          </w:p>
        </w:tc>
        <w:tc>
          <w:tcPr>
            <w:tcW w:w="1292" w:type="dxa"/>
          </w:tcPr>
          <w:p w14:paraId="469C7BC8" w14:textId="77777777" w:rsidR="003D7986" w:rsidRPr="008B514C" w:rsidRDefault="009F2BE9" w:rsidP="0063599D">
            <w:pPr>
              <w:spacing w:after="0" w:line="240" w:lineRule="auto"/>
              <w:rPr>
                <w:rFonts w:cstheme="minorHAnsi"/>
              </w:rPr>
            </w:pPr>
            <w:r>
              <w:rPr>
                <w:rFonts w:cstheme="minorHAnsi"/>
              </w:rPr>
              <w:t>DAA-GRS-2014-</w:t>
            </w:r>
            <w:r w:rsidR="00B168DA">
              <w:rPr>
                <w:rFonts w:cstheme="minorHAnsi"/>
              </w:rPr>
              <w:t>0004-</w:t>
            </w:r>
            <w:r w:rsidR="003D7986" w:rsidRPr="008B514C">
              <w:rPr>
                <w:rFonts w:cstheme="minorHAnsi"/>
              </w:rPr>
              <w:t>0002</w:t>
            </w:r>
          </w:p>
        </w:tc>
      </w:tr>
      <w:tr w:rsidR="001078CF" w:rsidRPr="008B514C" w14:paraId="1F8F07EC" w14:textId="77777777" w:rsidTr="00C42F08">
        <w:tc>
          <w:tcPr>
            <w:tcW w:w="655" w:type="dxa"/>
            <w:vMerge w:val="restart"/>
          </w:tcPr>
          <w:p w14:paraId="144042D9" w14:textId="77777777" w:rsidR="001078CF" w:rsidRDefault="001078CF" w:rsidP="008E1476">
            <w:pPr>
              <w:spacing w:after="0" w:line="240" w:lineRule="auto"/>
              <w:jc w:val="center"/>
              <w:rPr>
                <w:rFonts w:cstheme="minorHAnsi"/>
              </w:rPr>
            </w:pPr>
            <w:r>
              <w:rPr>
                <w:rFonts w:cstheme="minorHAnsi"/>
              </w:rPr>
              <w:t>020</w:t>
            </w:r>
          </w:p>
          <w:p w14:paraId="00514C63" w14:textId="77777777" w:rsidR="001078CF" w:rsidRDefault="001078CF" w:rsidP="008E1476">
            <w:pPr>
              <w:tabs>
                <w:tab w:val="left" w:pos="-1080"/>
                <w:tab w:val="left" w:pos="-720"/>
                <w:tab w:val="left" w:pos="342"/>
                <w:tab w:val="left" w:pos="720"/>
                <w:tab w:val="left" w:pos="1080"/>
                <w:tab w:val="left" w:pos="1440"/>
                <w:tab w:val="left" w:pos="3600"/>
              </w:tabs>
              <w:spacing w:after="0" w:line="240" w:lineRule="auto"/>
              <w:jc w:val="center"/>
              <w:rPr>
                <w:rFonts w:cstheme="minorHAnsi"/>
              </w:rPr>
            </w:pPr>
            <w:r>
              <w:br w:type="page"/>
            </w:r>
          </w:p>
        </w:tc>
        <w:tc>
          <w:tcPr>
            <w:tcW w:w="10145" w:type="dxa"/>
            <w:gridSpan w:val="2"/>
          </w:tcPr>
          <w:p w14:paraId="49EC255E" w14:textId="77777777" w:rsidR="001078CF" w:rsidRPr="0006270F" w:rsidRDefault="001078CF" w:rsidP="001078CF">
            <w:pPr>
              <w:tabs>
                <w:tab w:val="left" w:pos="-1080"/>
                <w:tab w:val="left" w:pos="-720"/>
                <w:tab w:val="left" w:pos="342"/>
                <w:tab w:val="left" w:pos="720"/>
                <w:tab w:val="left" w:pos="1080"/>
                <w:tab w:val="left" w:pos="1440"/>
                <w:tab w:val="left" w:pos="3600"/>
              </w:tabs>
              <w:spacing w:after="0" w:line="240" w:lineRule="auto"/>
              <w:rPr>
                <w:rFonts w:cstheme="minorHAnsi"/>
              </w:rPr>
            </w:pPr>
            <w:r w:rsidRPr="0006270F">
              <w:rPr>
                <w:b/>
              </w:rPr>
              <w:t xml:space="preserve">Individual </w:t>
            </w:r>
            <w:r>
              <w:rPr>
                <w:b/>
              </w:rPr>
              <w:t>e</w:t>
            </w:r>
            <w:r w:rsidRPr="0006270F">
              <w:rPr>
                <w:b/>
              </w:rPr>
              <w:t xml:space="preserve">mployee </w:t>
            </w:r>
            <w:r>
              <w:rPr>
                <w:b/>
              </w:rPr>
              <w:t>s</w:t>
            </w:r>
            <w:r w:rsidRPr="0006270F">
              <w:rPr>
                <w:b/>
              </w:rPr>
              <w:t xml:space="preserve">eparation </w:t>
            </w:r>
            <w:r>
              <w:rPr>
                <w:b/>
              </w:rPr>
              <w:t>c</w:t>
            </w:r>
            <w:r w:rsidRPr="0006270F">
              <w:rPr>
                <w:b/>
              </w:rPr>
              <w:t xml:space="preserve">ase </w:t>
            </w:r>
            <w:r>
              <w:rPr>
                <w:b/>
              </w:rPr>
              <w:t>f</w:t>
            </w:r>
            <w:r w:rsidRPr="0006270F">
              <w:rPr>
                <w:b/>
              </w:rPr>
              <w:t>iles</w:t>
            </w:r>
            <w:r w:rsidRPr="0006270F">
              <w:rPr>
                <w:rFonts w:cstheme="minorHAnsi"/>
              </w:rPr>
              <w:t xml:space="preserve">.  </w:t>
            </w:r>
          </w:p>
          <w:p w14:paraId="036251DC" w14:textId="77777777" w:rsidR="001078CF" w:rsidRDefault="001078CF" w:rsidP="001078CF">
            <w:pPr>
              <w:tabs>
                <w:tab w:val="left" w:pos="-1080"/>
                <w:tab w:val="left" w:pos="-720"/>
                <w:tab w:val="left" w:pos="342"/>
                <w:tab w:val="left" w:pos="720"/>
                <w:tab w:val="left" w:pos="1080"/>
                <w:tab w:val="left" w:pos="1440"/>
                <w:tab w:val="left" w:pos="3600"/>
              </w:tabs>
              <w:spacing w:after="0" w:line="240" w:lineRule="auto"/>
              <w:ind w:left="342"/>
              <w:rPr>
                <w:rFonts w:cstheme="minorHAnsi"/>
              </w:rPr>
            </w:pPr>
            <w:r w:rsidRPr="0006270F">
              <w:t>Records not included in separating employee’s O</w:t>
            </w:r>
            <w:r>
              <w:t>fficial Personnel Folder (OP</w:t>
            </w:r>
            <w:r w:rsidRPr="0006270F">
              <w:t>F</w:t>
            </w:r>
            <w:r>
              <w:t>)</w:t>
            </w:r>
            <w:r w:rsidRPr="0006270F">
              <w:t>, documenting individual employees’ transfer to another Federal agency or office</w:t>
            </w:r>
            <w:r w:rsidRPr="0006270F">
              <w:rPr>
                <w:rFonts w:cs="TimesNewRomanPSMT"/>
              </w:rPr>
              <w:t xml:space="preserve"> or voluntary, involuntary, disability, early retirement, retirement, or death</w:t>
            </w:r>
            <w:r w:rsidRPr="0006270F">
              <w:t xml:space="preserve"> separation from </w:t>
            </w:r>
            <w:r w:rsidRPr="0006270F">
              <w:rPr>
                <w:rFonts w:cs="TimesNewRomanPSMT"/>
              </w:rPr>
              <w:t>career, temporary, and political appointment</w:t>
            </w:r>
            <w:r w:rsidRPr="0006270F">
              <w:t xml:space="preserve"> </w:t>
            </w:r>
            <w:proofErr w:type="gramStart"/>
            <w:r w:rsidRPr="0006270F">
              <w:t>service;</w:t>
            </w:r>
            <w:proofErr w:type="gramEnd"/>
            <w:r w:rsidRPr="0006270F">
              <w:t xml:space="preserve"> and legal and financial obligations of government to employee and employee to government</w:t>
            </w:r>
            <w:r w:rsidRPr="0006270F">
              <w:rPr>
                <w:rFonts w:cstheme="minorHAnsi"/>
              </w:rPr>
              <w:t>.  Includes:</w:t>
            </w:r>
          </w:p>
          <w:p w14:paraId="6DEB0417" w14:textId="77777777" w:rsidR="001078CF" w:rsidRPr="0006270F" w:rsidRDefault="001078CF" w:rsidP="001078CF">
            <w:pPr>
              <w:widowControl w:val="0"/>
              <w:numPr>
                <w:ilvl w:val="0"/>
                <w:numId w:val="18"/>
              </w:numPr>
              <w:tabs>
                <w:tab w:val="left" w:pos="335"/>
                <w:tab w:val="left" w:pos="612"/>
              </w:tabs>
              <w:spacing w:after="0" w:line="240" w:lineRule="auto"/>
              <w:ind w:left="792" w:hanging="446"/>
              <w:rPr>
                <w:rFonts w:cstheme="minorHAnsi"/>
              </w:rPr>
            </w:pPr>
            <w:r w:rsidRPr="0006270F">
              <w:rPr>
                <w:rFonts w:cs="TimesNewRomanPSMT"/>
              </w:rPr>
              <w:t>records of counseling activities and outplacement services</w:t>
            </w:r>
          </w:p>
          <w:p w14:paraId="6C08D5C5" w14:textId="77777777" w:rsidR="001078CF" w:rsidRPr="0006270F" w:rsidRDefault="001078CF" w:rsidP="001078CF">
            <w:pPr>
              <w:widowControl w:val="0"/>
              <w:numPr>
                <w:ilvl w:val="0"/>
                <w:numId w:val="18"/>
              </w:numPr>
              <w:tabs>
                <w:tab w:val="left" w:pos="335"/>
                <w:tab w:val="left" w:pos="612"/>
              </w:tabs>
              <w:spacing w:after="0" w:line="240" w:lineRule="auto"/>
              <w:ind w:left="792" w:hanging="446"/>
              <w:rPr>
                <w:rFonts w:cstheme="minorHAnsi"/>
              </w:rPr>
            </w:pPr>
            <w:r w:rsidRPr="0006270F">
              <w:rPr>
                <w:rFonts w:cs="TimesNewRomanPSMT"/>
              </w:rPr>
              <w:t>exit interview records</w:t>
            </w:r>
            <w:r w:rsidRPr="0006270F">
              <w:rPr>
                <w:rFonts w:cstheme="minorHAnsi"/>
              </w:rPr>
              <w:t xml:space="preserve"> </w:t>
            </w:r>
          </w:p>
          <w:p w14:paraId="29FDEAAB" w14:textId="77777777" w:rsidR="001078CF" w:rsidRPr="0006270F" w:rsidRDefault="001078CF" w:rsidP="001078CF">
            <w:pPr>
              <w:widowControl w:val="0"/>
              <w:numPr>
                <w:ilvl w:val="0"/>
                <w:numId w:val="18"/>
              </w:numPr>
              <w:tabs>
                <w:tab w:val="left" w:pos="335"/>
                <w:tab w:val="left" w:pos="612"/>
              </w:tabs>
              <w:spacing w:after="0" w:line="240" w:lineRule="auto"/>
              <w:ind w:left="792" w:hanging="446"/>
              <w:rPr>
                <w:rFonts w:cstheme="minorHAnsi"/>
              </w:rPr>
            </w:pPr>
            <w:r w:rsidRPr="0006270F">
              <w:rPr>
                <w:rFonts w:cs="TimesNewRomanPSMT"/>
              </w:rPr>
              <w:t>exit clearances</w:t>
            </w:r>
          </w:p>
          <w:p w14:paraId="0D205E97" w14:textId="77777777" w:rsidR="001078CF" w:rsidRPr="00F73614" w:rsidRDefault="001078CF" w:rsidP="001078CF">
            <w:pPr>
              <w:widowControl w:val="0"/>
              <w:numPr>
                <w:ilvl w:val="0"/>
                <w:numId w:val="18"/>
              </w:numPr>
              <w:tabs>
                <w:tab w:val="left" w:pos="335"/>
                <w:tab w:val="left" w:pos="612"/>
              </w:tabs>
              <w:spacing w:after="0" w:line="240" w:lineRule="auto"/>
              <w:ind w:left="792" w:hanging="446"/>
              <w:rPr>
                <w:rFonts w:cs="TimesNewRomanPSMT"/>
                <w:b/>
              </w:rPr>
            </w:pPr>
            <w:r w:rsidRPr="0006270F">
              <w:rPr>
                <w:rFonts w:cs="TimesNewRomanPSMT"/>
              </w:rPr>
              <w:t>checklists of returned property</w:t>
            </w:r>
          </w:p>
        </w:tc>
        <w:tc>
          <w:tcPr>
            <w:tcW w:w="2430" w:type="dxa"/>
            <w:vMerge w:val="restart"/>
          </w:tcPr>
          <w:p w14:paraId="2DD990BC" w14:textId="77777777" w:rsidR="001078CF" w:rsidRPr="008B514C" w:rsidRDefault="001078CF" w:rsidP="00FA1738">
            <w:pPr>
              <w:spacing w:after="0" w:line="240" w:lineRule="auto"/>
              <w:rPr>
                <w:b/>
              </w:rPr>
            </w:pPr>
            <w:r w:rsidRPr="0006270F">
              <w:rPr>
                <w:b/>
              </w:rPr>
              <w:t>Temporary</w:t>
            </w:r>
            <w:r w:rsidRPr="0006270F">
              <w:t>.  Destroy 1 year after date of separation or transfer, but longer retention is authorized if required for business use.</w:t>
            </w:r>
          </w:p>
        </w:tc>
        <w:tc>
          <w:tcPr>
            <w:tcW w:w="1292" w:type="dxa"/>
            <w:vMerge w:val="restart"/>
          </w:tcPr>
          <w:p w14:paraId="0E9259E3" w14:textId="77777777" w:rsidR="001078CF" w:rsidRDefault="001078CF" w:rsidP="00FA1738">
            <w:pPr>
              <w:spacing w:after="0" w:line="240" w:lineRule="auto"/>
              <w:rPr>
                <w:rFonts w:cstheme="minorHAnsi"/>
              </w:rPr>
            </w:pPr>
            <w:r>
              <w:rPr>
                <w:rFonts w:cstheme="minorHAnsi"/>
              </w:rPr>
              <w:t>DAA-GRS-2014-0004-</w:t>
            </w:r>
            <w:r w:rsidRPr="008B514C">
              <w:rPr>
                <w:rFonts w:cstheme="minorHAnsi"/>
              </w:rPr>
              <w:t>000</w:t>
            </w:r>
            <w:r>
              <w:rPr>
                <w:rFonts w:cstheme="minorHAnsi"/>
              </w:rPr>
              <w:t>3</w:t>
            </w:r>
          </w:p>
        </w:tc>
      </w:tr>
      <w:tr w:rsidR="001078CF" w:rsidRPr="008B514C" w14:paraId="7755F538" w14:textId="77777777" w:rsidTr="001078CF">
        <w:trPr>
          <w:trHeight w:val="3052"/>
        </w:trPr>
        <w:tc>
          <w:tcPr>
            <w:tcW w:w="655" w:type="dxa"/>
            <w:vMerge/>
          </w:tcPr>
          <w:p w14:paraId="4D2FB3E3" w14:textId="77777777" w:rsidR="001078CF" w:rsidRPr="008B514C" w:rsidRDefault="001078CF" w:rsidP="008E1476">
            <w:pPr>
              <w:tabs>
                <w:tab w:val="left" w:pos="-1080"/>
                <w:tab w:val="left" w:pos="-720"/>
                <w:tab w:val="left" w:pos="342"/>
                <w:tab w:val="left" w:pos="720"/>
                <w:tab w:val="left" w:pos="1080"/>
                <w:tab w:val="left" w:pos="1440"/>
                <w:tab w:val="left" w:pos="3600"/>
              </w:tabs>
              <w:spacing w:after="0" w:line="240" w:lineRule="auto"/>
              <w:jc w:val="center"/>
            </w:pPr>
          </w:p>
        </w:tc>
        <w:tc>
          <w:tcPr>
            <w:tcW w:w="10145" w:type="dxa"/>
            <w:gridSpan w:val="2"/>
          </w:tcPr>
          <w:p w14:paraId="3A14EC6C" w14:textId="77777777" w:rsidR="001078CF" w:rsidRPr="001078CF" w:rsidRDefault="001078CF" w:rsidP="001078CF">
            <w:pPr>
              <w:widowControl w:val="0"/>
              <w:numPr>
                <w:ilvl w:val="0"/>
                <w:numId w:val="18"/>
              </w:numPr>
              <w:tabs>
                <w:tab w:val="left" w:pos="335"/>
                <w:tab w:val="left" w:pos="612"/>
              </w:tabs>
              <w:spacing w:after="0" w:line="240" w:lineRule="auto"/>
              <w:ind w:left="792" w:hanging="446"/>
              <w:rPr>
                <w:rFonts w:cstheme="minorHAnsi"/>
              </w:rPr>
            </w:pPr>
            <w:r w:rsidRPr="0006270F">
              <w:rPr>
                <w:rFonts w:cs="TimesNewRomanPSMT"/>
              </w:rPr>
              <w:t>certifications of removal/non-removal of government records</w:t>
            </w:r>
          </w:p>
          <w:p w14:paraId="4FBEC6B9" w14:textId="77777777" w:rsidR="001078CF" w:rsidRPr="0006270F" w:rsidRDefault="001078CF" w:rsidP="001078CF">
            <w:pPr>
              <w:widowControl w:val="0"/>
              <w:numPr>
                <w:ilvl w:val="0"/>
                <w:numId w:val="18"/>
              </w:numPr>
              <w:tabs>
                <w:tab w:val="left" w:pos="335"/>
                <w:tab w:val="left" w:pos="612"/>
              </w:tabs>
              <w:spacing w:after="0" w:line="240" w:lineRule="auto"/>
              <w:ind w:left="792" w:hanging="446"/>
              <w:rPr>
                <w:rFonts w:cstheme="minorHAnsi"/>
              </w:rPr>
            </w:pPr>
            <w:r w:rsidRPr="0006270F">
              <w:rPr>
                <w:rFonts w:cs="TimesNewRomanPSMT"/>
              </w:rPr>
              <w:t>records documenting notification of appropriate third parties (e.g., benefits providers, payroll, facility services, security, information technology) of impending separation</w:t>
            </w:r>
          </w:p>
          <w:p w14:paraId="64DA78BA" w14:textId="77777777" w:rsidR="001078CF" w:rsidRPr="0006270F" w:rsidRDefault="001078CF" w:rsidP="00021156">
            <w:pPr>
              <w:numPr>
                <w:ilvl w:val="0"/>
                <w:numId w:val="18"/>
              </w:numPr>
              <w:tabs>
                <w:tab w:val="left" w:pos="335"/>
                <w:tab w:val="left" w:pos="612"/>
              </w:tabs>
              <w:spacing w:after="0" w:line="240" w:lineRule="auto"/>
              <w:ind w:left="792" w:hanging="450"/>
              <w:rPr>
                <w:rFonts w:cstheme="minorHAnsi"/>
              </w:rPr>
            </w:pPr>
            <w:r w:rsidRPr="0006270F">
              <w:rPr>
                <w:rFonts w:cs="TimesNewRomanPSMT"/>
              </w:rPr>
              <w:t>records documenting terms and entitlements of separation (e.g., leave balance pay out or transfer of account, severance, pension, temporary continuation of coverage, annuity estimates, assistance)</w:t>
            </w:r>
          </w:p>
          <w:p w14:paraId="2C566963" w14:textId="77777777" w:rsidR="001078CF" w:rsidRPr="003B67D0" w:rsidRDefault="001078CF" w:rsidP="00021156">
            <w:pPr>
              <w:numPr>
                <w:ilvl w:val="0"/>
                <w:numId w:val="18"/>
              </w:numPr>
              <w:tabs>
                <w:tab w:val="left" w:pos="335"/>
                <w:tab w:val="left" w:pos="612"/>
              </w:tabs>
              <w:spacing w:after="0" w:line="240" w:lineRule="auto"/>
              <w:ind w:left="792" w:hanging="450"/>
              <w:rPr>
                <w:rFonts w:cstheme="minorHAnsi"/>
              </w:rPr>
            </w:pPr>
            <w:r w:rsidRPr="0006270F">
              <w:rPr>
                <w:rFonts w:cs="TimesNewRomanPSMT"/>
              </w:rPr>
              <w:t xml:space="preserve">records documenting employee financial </w:t>
            </w:r>
            <w:r w:rsidRPr="003B67D0">
              <w:rPr>
                <w:rFonts w:cs="TimesNewRomanPSMT"/>
              </w:rPr>
              <w:t>obligations to government (e.g., salary offset notices in effect at time of separation; student loan repayment; recruitment, retention, and relocation incentives; determinations of settlement)</w:t>
            </w:r>
          </w:p>
          <w:p w14:paraId="0A15D170" w14:textId="77777777" w:rsidR="001078CF" w:rsidRPr="0006270F" w:rsidRDefault="001078CF" w:rsidP="00021156">
            <w:pPr>
              <w:numPr>
                <w:ilvl w:val="0"/>
                <w:numId w:val="18"/>
              </w:numPr>
              <w:tabs>
                <w:tab w:val="left" w:pos="335"/>
                <w:tab w:val="left" w:pos="612"/>
              </w:tabs>
              <w:spacing w:after="0" w:line="240" w:lineRule="auto"/>
              <w:ind w:left="792" w:hanging="450"/>
              <w:rPr>
                <w:rFonts w:cstheme="minorHAnsi"/>
              </w:rPr>
            </w:pPr>
            <w:r w:rsidRPr="0006270F">
              <w:rPr>
                <w:rFonts w:cs="TimesNewRomanPSMT"/>
              </w:rPr>
              <w:t xml:space="preserve">copy of leave record (see “Record of employee leave,” </w:t>
            </w:r>
            <w:r>
              <w:rPr>
                <w:rFonts w:cs="TimesNewRomanPSMT"/>
              </w:rPr>
              <w:t>item 040 of this schedule,</w:t>
            </w:r>
            <w:r w:rsidRPr="0006270F">
              <w:rPr>
                <w:rFonts w:cs="TimesNewRomanPSMT"/>
              </w:rPr>
              <w:t xml:space="preserve"> for record copy) retained for agency use</w:t>
            </w:r>
          </w:p>
          <w:p w14:paraId="02105A55" w14:textId="77777777" w:rsidR="001078CF" w:rsidRPr="0006270F" w:rsidRDefault="001078CF" w:rsidP="00021156">
            <w:pPr>
              <w:autoSpaceDE w:val="0"/>
              <w:autoSpaceDN w:val="0"/>
              <w:adjustRightInd w:val="0"/>
              <w:spacing w:after="0" w:line="240" w:lineRule="auto"/>
              <w:ind w:left="342"/>
              <w:rPr>
                <w:b/>
              </w:rPr>
            </w:pPr>
          </w:p>
          <w:p w14:paraId="48661B89" w14:textId="77777777" w:rsidR="001078CF" w:rsidRPr="00021156" w:rsidRDefault="001078CF" w:rsidP="00021156">
            <w:pPr>
              <w:numPr>
                <w:ilvl w:val="0"/>
                <w:numId w:val="18"/>
              </w:numPr>
              <w:tabs>
                <w:tab w:val="left" w:pos="335"/>
                <w:tab w:val="left" w:pos="612"/>
              </w:tabs>
              <w:spacing w:after="0" w:line="240" w:lineRule="auto"/>
              <w:ind w:left="792" w:hanging="450"/>
              <w:rPr>
                <w:rFonts w:cstheme="minorHAnsi"/>
              </w:rPr>
            </w:pPr>
            <w:r w:rsidRPr="0006270F">
              <w:rPr>
                <w:b/>
              </w:rPr>
              <w:t>Exclusion</w:t>
            </w:r>
            <w:r w:rsidRPr="0006270F">
              <w:t>:  Records required to be filed in employee’s OPF are excluded from this item.</w:t>
            </w:r>
          </w:p>
        </w:tc>
        <w:tc>
          <w:tcPr>
            <w:tcW w:w="2430" w:type="dxa"/>
            <w:vMerge/>
          </w:tcPr>
          <w:p w14:paraId="103B3A81" w14:textId="77777777" w:rsidR="001078CF" w:rsidRPr="0006270F" w:rsidRDefault="001078CF" w:rsidP="00FA1738">
            <w:pPr>
              <w:spacing w:after="0" w:line="240" w:lineRule="auto"/>
              <w:rPr>
                <w:rFonts w:cstheme="minorHAnsi"/>
              </w:rPr>
            </w:pPr>
          </w:p>
        </w:tc>
        <w:tc>
          <w:tcPr>
            <w:tcW w:w="1292" w:type="dxa"/>
            <w:vMerge/>
          </w:tcPr>
          <w:p w14:paraId="4B402846" w14:textId="77777777" w:rsidR="001078CF" w:rsidRPr="008B514C" w:rsidRDefault="001078CF" w:rsidP="00FA1738">
            <w:pPr>
              <w:spacing w:after="0" w:line="240" w:lineRule="auto"/>
              <w:rPr>
                <w:rFonts w:cstheme="minorHAnsi"/>
              </w:rPr>
            </w:pPr>
          </w:p>
        </w:tc>
      </w:tr>
      <w:tr w:rsidR="003D7986" w:rsidRPr="00761183" w14:paraId="46D329E3" w14:textId="77777777" w:rsidTr="003D7986">
        <w:tc>
          <w:tcPr>
            <w:tcW w:w="655" w:type="dxa"/>
          </w:tcPr>
          <w:p w14:paraId="37AD65D9" w14:textId="77777777" w:rsidR="003D7986" w:rsidRPr="008E1476" w:rsidRDefault="001B56B0" w:rsidP="008E1476">
            <w:pPr>
              <w:spacing w:after="0" w:line="240" w:lineRule="auto"/>
              <w:jc w:val="center"/>
              <w:rPr>
                <w:rFonts w:asciiTheme="minorHAnsi" w:hAnsiTheme="minorHAnsi" w:cs="TimesNewRomanPSMT"/>
                <w:color w:val="000000"/>
              </w:rPr>
            </w:pPr>
            <w:r>
              <w:rPr>
                <w:rFonts w:asciiTheme="minorHAnsi" w:hAnsiTheme="minorHAnsi" w:cs="TimesNewRomanPSMT"/>
                <w:color w:val="000000"/>
              </w:rPr>
              <w:t>030</w:t>
            </w:r>
          </w:p>
        </w:tc>
        <w:tc>
          <w:tcPr>
            <w:tcW w:w="10145" w:type="dxa"/>
            <w:gridSpan w:val="2"/>
          </w:tcPr>
          <w:p w14:paraId="1228FD18" w14:textId="77777777" w:rsidR="003D7986" w:rsidRPr="002C2421" w:rsidRDefault="003D7986" w:rsidP="002C7DA5">
            <w:pPr>
              <w:spacing w:after="0" w:line="240" w:lineRule="auto"/>
              <w:rPr>
                <w:rFonts w:asciiTheme="minorHAnsi" w:hAnsiTheme="minorHAnsi" w:cstheme="minorHAnsi"/>
              </w:rPr>
            </w:pPr>
            <w:r w:rsidRPr="002C2421">
              <w:rPr>
                <w:rFonts w:asciiTheme="minorHAnsi" w:hAnsiTheme="minorHAnsi" w:cs="TimesNewRomanPSMT"/>
                <w:b/>
              </w:rPr>
              <w:t>Records documenting capture of institutional and specialized knowledge</w:t>
            </w:r>
            <w:r w:rsidR="00EB3F27" w:rsidRPr="002C2421">
              <w:rPr>
                <w:rFonts w:asciiTheme="minorHAnsi" w:hAnsiTheme="minorHAnsi" w:cstheme="minorHAnsi"/>
              </w:rPr>
              <w:t>.</w:t>
            </w:r>
          </w:p>
          <w:p w14:paraId="49822B3B" w14:textId="77777777" w:rsidR="003D7986" w:rsidRPr="002C2421" w:rsidRDefault="003D7986" w:rsidP="00DE3EDD">
            <w:pPr>
              <w:spacing w:after="0" w:line="240" w:lineRule="auto"/>
              <w:ind w:left="342"/>
              <w:rPr>
                <w:rFonts w:asciiTheme="minorHAnsi" w:hAnsiTheme="minorHAnsi" w:cstheme="minorHAnsi"/>
              </w:rPr>
            </w:pPr>
            <w:r w:rsidRPr="002C2421">
              <w:rPr>
                <w:rFonts w:asciiTheme="minorHAnsi" w:hAnsiTheme="minorHAnsi" w:cs="TimesNewRomanPSMT"/>
              </w:rPr>
              <w:t xml:space="preserve">Includes status </w:t>
            </w:r>
            <w:r w:rsidR="006E7EEB" w:rsidRPr="002C2421">
              <w:rPr>
                <w:rFonts w:asciiTheme="minorHAnsi" w:hAnsiTheme="minorHAnsi" w:cs="TimesNewRomanPSMT"/>
              </w:rPr>
              <w:t xml:space="preserve">updates on </w:t>
            </w:r>
            <w:r w:rsidRPr="002C2421">
              <w:rPr>
                <w:rFonts w:asciiTheme="minorHAnsi" w:hAnsiTheme="minorHAnsi" w:cs="TimesNewRomanPSMT"/>
              </w:rPr>
              <w:t xml:space="preserve">current and pending assignments, </w:t>
            </w:r>
            <w:r w:rsidR="006E7EEB" w:rsidRPr="002C2421">
              <w:rPr>
                <w:rFonts w:asciiTheme="minorHAnsi" w:hAnsiTheme="minorHAnsi" w:cs="TimesNewRomanPSMT"/>
              </w:rPr>
              <w:t xml:space="preserve">contact information for sources, </w:t>
            </w:r>
            <w:r w:rsidRPr="002C2421">
              <w:rPr>
                <w:rFonts w:asciiTheme="minorHAnsi" w:hAnsiTheme="minorHAnsi" w:cs="TimesNewRomanPSMT"/>
              </w:rPr>
              <w:t>and other job-related information an office may choose to obtain from a departing employee.</w:t>
            </w:r>
            <w:r w:rsidRPr="002C2421">
              <w:rPr>
                <w:rFonts w:asciiTheme="minorHAnsi" w:hAnsiTheme="minorHAnsi" w:cstheme="minorHAnsi"/>
              </w:rPr>
              <w:t xml:space="preserve"> </w:t>
            </w:r>
          </w:p>
          <w:p w14:paraId="21C1420A" w14:textId="77777777" w:rsidR="006E7EEB" w:rsidRPr="002C2421" w:rsidRDefault="006E7EEB" w:rsidP="00DE3EDD">
            <w:pPr>
              <w:spacing w:after="0" w:line="240" w:lineRule="auto"/>
              <w:ind w:left="342"/>
              <w:rPr>
                <w:rFonts w:asciiTheme="minorHAnsi" w:hAnsiTheme="minorHAnsi" w:cstheme="minorHAnsi"/>
              </w:rPr>
            </w:pPr>
          </w:p>
          <w:p w14:paraId="0E0F37AD" w14:textId="77777777" w:rsidR="00CB6280" w:rsidRPr="002C2421" w:rsidRDefault="006E7EEB" w:rsidP="002C2421">
            <w:pPr>
              <w:spacing w:after="0" w:line="240" w:lineRule="auto"/>
              <w:ind w:left="342"/>
              <w:rPr>
                <w:rFonts w:asciiTheme="minorHAnsi" w:hAnsiTheme="minorHAnsi" w:cstheme="minorHAnsi"/>
              </w:rPr>
            </w:pPr>
            <w:r w:rsidRPr="002C2421">
              <w:rPr>
                <w:rFonts w:asciiTheme="minorHAnsi" w:hAnsiTheme="minorHAnsi" w:cstheme="minorHAnsi"/>
                <w:b/>
              </w:rPr>
              <w:t>Exclusion</w:t>
            </w:r>
            <w:r w:rsidRPr="002C2421">
              <w:rPr>
                <w:rFonts w:asciiTheme="minorHAnsi" w:hAnsiTheme="minorHAnsi" w:cstheme="minorHAnsi"/>
              </w:rPr>
              <w:t>:  Formal oral histories recorded with an employee before his/her departure are not covered by this item.  These must be scheduled separately by the agency.</w:t>
            </w:r>
          </w:p>
        </w:tc>
        <w:tc>
          <w:tcPr>
            <w:tcW w:w="2430" w:type="dxa"/>
          </w:tcPr>
          <w:p w14:paraId="78D7AA9B" w14:textId="77777777" w:rsidR="003D7986" w:rsidRPr="0006270F" w:rsidRDefault="003D7986" w:rsidP="00FA1738">
            <w:pPr>
              <w:spacing w:after="0" w:line="240" w:lineRule="auto"/>
              <w:rPr>
                <w:rFonts w:asciiTheme="minorHAnsi" w:hAnsiTheme="minorHAnsi" w:cstheme="minorHAnsi"/>
              </w:rPr>
            </w:pPr>
            <w:r w:rsidRPr="0006270F">
              <w:rPr>
                <w:rFonts w:asciiTheme="minorHAnsi" w:hAnsiTheme="minorHAnsi"/>
                <w:b/>
              </w:rPr>
              <w:t>Temporary</w:t>
            </w:r>
            <w:r w:rsidRPr="0006270F">
              <w:rPr>
                <w:rFonts w:asciiTheme="minorHAnsi" w:hAnsiTheme="minorHAnsi"/>
              </w:rPr>
              <w:t>.  Destroy when no longer required for business use.</w:t>
            </w:r>
          </w:p>
        </w:tc>
        <w:tc>
          <w:tcPr>
            <w:tcW w:w="1292" w:type="dxa"/>
          </w:tcPr>
          <w:p w14:paraId="04B8F672" w14:textId="77777777" w:rsidR="003D7986" w:rsidRPr="00761183" w:rsidRDefault="009F2BE9" w:rsidP="00FA1738">
            <w:pPr>
              <w:spacing w:after="0" w:line="240" w:lineRule="auto"/>
              <w:rPr>
                <w:rFonts w:asciiTheme="minorHAnsi" w:hAnsiTheme="minorHAnsi" w:cstheme="minorHAnsi"/>
              </w:rPr>
            </w:pPr>
            <w:r>
              <w:rPr>
                <w:rFonts w:cstheme="minorHAnsi"/>
              </w:rPr>
              <w:t>DAA-GRS-2014-</w:t>
            </w:r>
            <w:r w:rsidR="00B168DA">
              <w:rPr>
                <w:rFonts w:cstheme="minorHAnsi"/>
              </w:rPr>
              <w:t>0004-</w:t>
            </w:r>
            <w:r w:rsidR="003D7986" w:rsidRPr="00761183">
              <w:rPr>
                <w:rFonts w:asciiTheme="minorHAnsi" w:hAnsiTheme="minorHAnsi" w:cstheme="minorHAnsi"/>
              </w:rPr>
              <w:t>0004</w:t>
            </w:r>
          </w:p>
        </w:tc>
      </w:tr>
      <w:tr w:rsidR="00CB6280" w:rsidRPr="00761183" w14:paraId="58E0BFA0" w14:textId="77777777" w:rsidTr="003D7986">
        <w:tc>
          <w:tcPr>
            <w:tcW w:w="655" w:type="dxa"/>
          </w:tcPr>
          <w:p w14:paraId="2DFAC554" w14:textId="77777777" w:rsidR="00CB6280" w:rsidRPr="002F007D" w:rsidRDefault="00CB6280" w:rsidP="008E1476">
            <w:pPr>
              <w:spacing w:after="0" w:line="240" w:lineRule="auto"/>
              <w:jc w:val="center"/>
              <w:rPr>
                <w:rFonts w:asciiTheme="minorHAnsi" w:hAnsiTheme="minorHAnsi"/>
              </w:rPr>
            </w:pPr>
            <w:r w:rsidRPr="002F007D">
              <w:rPr>
                <w:rFonts w:asciiTheme="minorHAnsi" w:hAnsiTheme="minorHAnsi"/>
              </w:rPr>
              <w:t>040</w:t>
            </w:r>
          </w:p>
          <w:p w14:paraId="0870F585" w14:textId="77777777" w:rsidR="00CB6280" w:rsidRPr="00CB6280" w:rsidRDefault="00CB6280" w:rsidP="008E1476">
            <w:pPr>
              <w:spacing w:after="0" w:line="240" w:lineRule="auto"/>
              <w:jc w:val="center"/>
              <w:rPr>
                <w:rFonts w:asciiTheme="minorHAnsi" w:hAnsiTheme="minorHAnsi"/>
                <w:sz w:val="20"/>
                <w:szCs w:val="20"/>
              </w:rPr>
            </w:pPr>
          </w:p>
        </w:tc>
        <w:tc>
          <w:tcPr>
            <w:tcW w:w="10145" w:type="dxa"/>
            <w:gridSpan w:val="2"/>
          </w:tcPr>
          <w:p w14:paraId="7087A629" w14:textId="77777777" w:rsidR="00CB6280" w:rsidRPr="002C2421" w:rsidRDefault="00CB6280" w:rsidP="00CB6280">
            <w:pPr>
              <w:spacing w:after="0" w:line="240" w:lineRule="auto"/>
              <w:rPr>
                <w:b/>
              </w:rPr>
            </w:pPr>
            <w:r w:rsidRPr="002C2421">
              <w:rPr>
                <w:b/>
              </w:rPr>
              <w:t>Individual employee separation records required to be placed in separating employee’s OPF</w:t>
            </w:r>
            <w:r w:rsidR="002F007D" w:rsidRPr="002C2421">
              <w:rPr>
                <w:b/>
              </w:rPr>
              <w:t>.</w:t>
            </w:r>
          </w:p>
          <w:p w14:paraId="1EFE719A" w14:textId="77777777" w:rsidR="00CB6280" w:rsidRPr="002C2421" w:rsidRDefault="002F007D" w:rsidP="00CB6280">
            <w:pPr>
              <w:spacing w:after="0" w:line="240" w:lineRule="auto"/>
              <w:ind w:left="310"/>
            </w:pPr>
            <w:proofErr w:type="gramStart"/>
            <w:r w:rsidRPr="002C2421">
              <w:t>As  identified</w:t>
            </w:r>
            <w:proofErr w:type="gramEnd"/>
            <w:r w:rsidRPr="002C2421">
              <w:t xml:space="preserve"> in the Office of Personnel Management (OPM) Guide to Personnel  Recordkeeping, i</w:t>
            </w:r>
            <w:r w:rsidR="00CB6280" w:rsidRPr="002C2421">
              <w:t>ncludes</w:t>
            </w:r>
            <w:r w:rsidR="00D624F6" w:rsidRPr="002C2421">
              <w:t xml:space="preserve"> but is not limited to</w:t>
            </w:r>
            <w:r w:rsidR="00CB6280" w:rsidRPr="002C2421">
              <w:t>:</w:t>
            </w:r>
          </w:p>
          <w:p w14:paraId="2258DA6B" w14:textId="77777777" w:rsidR="00CB6280" w:rsidRPr="002C2421" w:rsidRDefault="00CB6280" w:rsidP="00CB6280">
            <w:pPr>
              <w:pStyle w:val="ListParagraph"/>
              <w:numPr>
                <w:ilvl w:val="0"/>
                <w:numId w:val="20"/>
              </w:numPr>
              <w:spacing w:after="0" w:line="240" w:lineRule="auto"/>
              <w:ind w:left="670"/>
            </w:pPr>
            <w:r w:rsidRPr="002C2421">
              <w:t>resignation letter</w:t>
            </w:r>
          </w:p>
          <w:p w14:paraId="45BFFA8F" w14:textId="77777777" w:rsidR="00CB6280" w:rsidRPr="002C2421" w:rsidRDefault="00CB6280" w:rsidP="00CB6280">
            <w:pPr>
              <w:pStyle w:val="ListParagraph"/>
              <w:numPr>
                <w:ilvl w:val="0"/>
                <w:numId w:val="20"/>
              </w:numPr>
              <w:spacing w:after="0" w:line="240" w:lineRule="auto"/>
              <w:ind w:left="670"/>
            </w:pPr>
            <w:r w:rsidRPr="002C2421">
              <w:t>reason for separation (such as reduction in force)</w:t>
            </w:r>
          </w:p>
          <w:p w14:paraId="70FC28EC" w14:textId="77777777" w:rsidR="00CB6280" w:rsidRPr="002C2421" w:rsidRDefault="00CB6280" w:rsidP="00CB6280">
            <w:pPr>
              <w:pStyle w:val="ListParagraph"/>
              <w:numPr>
                <w:ilvl w:val="0"/>
                <w:numId w:val="20"/>
              </w:numPr>
              <w:spacing w:after="0" w:line="240" w:lineRule="auto"/>
              <w:ind w:left="670"/>
            </w:pPr>
            <w:r w:rsidRPr="002C2421">
              <w:t>documentation of retirement-option elections and coverage</w:t>
            </w:r>
          </w:p>
          <w:p w14:paraId="14BAD1EF" w14:textId="77777777" w:rsidR="00CB6280" w:rsidRPr="002C2421" w:rsidRDefault="00CB6280" w:rsidP="00CB6280">
            <w:pPr>
              <w:pStyle w:val="ListParagraph"/>
              <w:numPr>
                <w:ilvl w:val="0"/>
                <w:numId w:val="20"/>
              </w:numPr>
              <w:spacing w:after="0" w:line="240" w:lineRule="auto"/>
              <w:ind w:left="670"/>
            </w:pPr>
            <w:r w:rsidRPr="002C2421">
              <w:t>documentation of indebtedness</w:t>
            </w:r>
          </w:p>
          <w:p w14:paraId="5E147C63" w14:textId="77777777" w:rsidR="00CB6280" w:rsidRPr="002C2421" w:rsidRDefault="00CB6280" w:rsidP="00CB6280">
            <w:pPr>
              <w:pStyle w:val="ListParagraph"/>
              <w:numPr>
                <w:ilvl w:val="0"/>
                <w:numId w:val="20"/>
              </w:numPr>
              <w:spacing w:after="0" w:line="240" w:lineRule="auto"/>
              <w:ind w:left="670"/>
            </w:pPr>
            <w:r w:rsidRPr="002C2421">
              <w:t>documentation of payment or repayment to, or refund from FERS or CSRS</w:t>
            </w:r>
          </w:p>
          <w:p w14:paraId="52F4D581" w14:textId="77777777" w:rsidR="00CB6280" w:rsidRPr="002C2421" w:rsidRDefault="00CB6280" w:rsidP="00CB6280">
            <w:pPr>
              <w:pStyle w:val="ListParagraph"/>
              <w:numPr>
                <w:ilvl w:val="0"/>
                <w:numId w:val="20"/>
              </w:numPr>
              <w:spacing w:after="0" w:line="240" w:lineRule="auto"/>
              <w:ind w:left="670"/>
            </w:pPr>
            <w:r w:rsidRPr="002C2421">
              <w:t>record of employee leave prepared upon transfer or separation</w:t>
            </w:r>
          </w:p>
          <w:p w14:paraId="15AF9327" w14:textId="77777777" w:rsidR="00CB6280" w:rsidRPr="002C2421" w:rsidRDefault="00CB6280" w:rsidP="00CB6280">
            <w:pPr>
              <w:pStyle w:val="ListParagraph"/>
              <w:numPr>
                <w:ilvl w:val="0"/>
                <w:numId w:val="20"/>
              </w:numPr>
              <w:spacing w:after="0" w:line="240" w:lineRule="auto"/>
              <w:ind w:left="670"/>
            </w:pPr>
            <w:r w:rsidRPr="002C2421">
              <w:t>records of most recent performance ratings</w:t>
            </w:r>
          </w:p>
          <w:p w14:paraId="0BACF81E" w14:textId="77777777" w:rsidR="00CB6280" w:rsidRPr="002C2421" w:rsidRDefault="00CB6280" w:rsidP="002C2421">
            <w:pPr>
              <w:pStyle w:val="ListParagraph"/>
              <w:numPr>
                <w:ilvl w:val="0"/>
                <w:numId w:val="20"/>
              </w:numPr>
              <w:spacing w:after="0" w:line="240" w:lineRule="auto"/>
              <w:ind w:left="670"/>
            </w:pPr>
            <w:r w:rsidRPr="002C2421">
              <w:t>designation of beneficiary</w:t>
            </w:r>
          </w:p>
        </w:tc>
        <w:tc>
          <w:tcPr>
            <w:tcW w:w="2430" w:type="dxa"/>
          </w:tcPr>
          <w:p w14:paraId="05B74C2D" w14:textId="77777777" w:rsidR="00CB6280" w:rsidRPr="0006270F" w:rsidRDefault="00CB6280" w:rsidP="00CB6280">
            <w:pPr>
              <w:spacing w:after="0" w:line="240" w:lineRule="auto"/>
              <w:contextualSpacing/>
              <w:rPr>
                <w:rFonts w:asciiTheme="minorHAnsi" w:hAnsiTheme="minorHAnsi"/>
              </w:rPr>
            </w:pPr>
            <w:r w:rsidRPr="0006270F">
              <w:rPr>
                <w:rFonts w:asciiTheme="minorHAnsi" w:hAnsiTheme="minorHAnsi"/>
              </w:rPr>
              <w:t>File on left side</w:t>
            </w:r>
            <w:r>
              <w:rPr>
                <w:rFonts w:asciiTheme="minorHAnsi" w:hAnsiTheme="minorHAnsi"/>
              </w:rPr>
              <w:t xml:space="preserve"> </w:t>
            </w:r>
            <w:r w:rsidRPr="00BF6698">
              <w:rPr>
                <w:rFonts w:asciiTheme="minorHAnsi" w:hAnsiTheme="minorHAnsi"/>
              </w:rPr>
              <w:t>(</w:t>
            </w:r>
            <w:r>
              <w:rPr>
                <w:rFonts w:asciiTheme="minorHAnsi" w:hAnsiTheme="minorHAnsi"/>
              </w:rPr>
              <w:t>short-term</w:t>
            </w:r>
            <w:r w:rsidRPr="00BF6698">
              <w:rPr>
                <w:rFonts w:asciiTheme="minorHAnsi" w:hAnsiTheme="minorHAnsi"/>
              </w:rPr>
              <w:t>)</w:t>
            </w:r>
            <w:r w:rsidRPr="00E74692">
              <w:rPr>
                <w:rFonts w:asciiTheme="minorHAnsi" w:hAnsiTheme="minorHAnsi"/>
                <w:color w:val="FF0000"/>
              </w:rPr>
              <w:t xml:space="preserve"> </w:t>
            </w:r>
            <w:r>
              <w:rPr>
                <w:rFonts w:asciiTheme="minorHAnsi" w:hAnsiTheme="minorHAnsi"/>
              </w:rPr>
              <w:t>or right side</w:t>
            </w:r>
            <w:r w:rsidRPr="0006270F">
              <w:rPr>
                <w:rFonts w:asciiTheme="minorHAnsi" w:hAnsiTheme="minorHAnsi"/>
              </w:rPr>
              <w:t xml:space="preserve"> </w:t>
            </w:r>
            <w:r>
              <w:rPr>
                <w:rFonts w:asciiTheme="minorHAnsi" w:hAnsiTheme="minorHAnsi"/>
              </w:rPr>
              <w:t xml:space="preserve">(long-term) </w:t>
            </w:r>
            <w:r w:rsidRPr="0006270F">
              <w:rPr>
                <w:rFonts w:asciiTheme="minorHAnsi" w:hAnsiTheme="minorHAnsi"/>
              </w:rPr>
              <w:t>of the Official Personnel Folder (OPF)</w:t>
            </w:r>
            <w:r>
              <w:rPr>
                <w:rFonts w:asciiTheme="minorHAnsi" w:hAnsiTheme="minorHAnsi"/>
              </w:rPr>
              <w:t>, as appropriate</w:t>
            </w:r>
            <w:r w:rsidRPr="0006270F">
              <w:rPr>
                <w:rFonts w:asciiTheme="minorHAnsi" w:hAnsiTheme="minorHAnsi"/>
              </w:rPr>
              <w:t>.</w:t>
            </w:r>
          </w:p>
        </w:tc>
        <w:tc>
          <w:tcPr>
            <w:tcW w:w="1292" w:type="dxa"/>
          </w:tcPr>
          <w:p w14:paraId="63F21371" w14:textId="77777777" w:rsidR="00CB6280" w:rsidRPr="00A55D82" w:rsidRDefault="00CB6280" w:rsidP="00FA1738">
            <w:pPr>
              <w:spacing w:after="0" w:line="240" w:lineRule="auto"/>
              <w:rPr>
                <w:rFonts w:asciiTheme="minorHAnsi" w:hAnsiTheme="minorHAnsi" w:cstheme="minorHAnsi"/>
              </w:rPr>
            </w:pPr>
          </w:p>
        </w:tc>
      </w:tr>
      <w:tr w:rsidR="001078CF" w:rsidRPr="008B514C" w14:paraId="59357AC2" w14:textId="77777777" w:rsidTr="00497EBD">
        <w:trPr>
          <w:trHeight w:val="3024"/>
        </w:trPr>
        <w:tc>
          <w:tcPr>
            <w:tcW w:w="655" w:type="dxa"/>
          </w:tcPr>
          <w:p w14:paraId="41243457" w14:textId="77777777" w:rsidR="001078CF" w:rsidRPr="008B514C" w:rsidRDefault="001078CF" w:rsidP="00522825">
            <w:pPr>
              <w:spacing w:after="0" w:line="240" w:lineRule="auto"/>
              <w:jc w:val="center"/>
            </w:pPr>
            <w:r>
              <w:lastRenderedPageBreak/>
              <w:t>050</w:t>
            </w:r>
          </w:p>
        </w:tc>
        <w:tc>
          <w:tcPr>
            <w:tcW w:w="10145" w:type="dxa"/>
            <w:gridSpan w:val="2"/>
          </w:tcPr>
          <w:p w14:paraId="24F8D7EE" w14:textId="77777777" w:rsidR="001078CF" w:rsidRPr="0000716D" w:rsidRDefault="001078CF" w:rsidP="00522825">
            <w:pPr>
              <w:tabs>
                <w:tab w:val="left" w:pos="-33"/>
                <w:tab w:val="left" w:pos="1080"/>
              </w:tabs>
              <w:spacing w:after="0" w:line="240" w:lineRule="auto"/>
            </w:pPr>
            <w:r>
              <w:rPr>
                <w:b/>
              </w:rPr>
              <w:t>Phased ret</w:t>
            </w:r>
            <w:r w:rsidRPr="0000716D">
              <w:rPr>
                <w:b/>
              </w:rPr>
              <w:t>irement administrative records</w:t>
            </w:r>
            <w:r w:rsidRPr="0000716D">
              <w:t>.</w:t>
            </w:r>
          </w:p>
          <w:p w14:paraId="798095A2" w14:textId="77777777" w:rsidR="001078CF" w:rsidRPr="0000716D" w:rsidRDefault="001078CF" w:rsidP="00522825">
            <w:pPr>
              <w:tabs>
                <w:tab w:val="left" w:pos="335"/>
                <w:tab w:val="left" w:pos="1080"/>
              </w:tabs>
              <w:spacing w:after="0" w:line="240" w:lineRule="auto"/>
              <w:ind w:left="335"/>
            </w:pPr>
            <w:r w:rsidRPr="0000716D">
              <w:t>Records related to managing the program, including:</w:t>
            </w:r>
          </w:p>
          <w:p w14:paraId="54F94F54" w14:textId="77777777" w:rsidR="001078CF" w:rsidRPr="0000716D" w:rsidRDefault="001078CF" w:rsidP="00522825">
            <w:pPr>
              <w:pStyle w:val="ListParagraph"/>
              <w:numPr>
                <w:ilvl w:val="0"/>
                <w:numId w:val="21"/>
              </w:numPr>
              <w:tabs>
                <w:tab w:val="left" w:pos="335"/>
              </w:tabs>
              <w:spacing w:after="0" w:line="240" w:lineRule="auto"/>
              <w:ind w:left="695"/>
            </w:pPr>
            <w:r w:rsidRPr="0000716D">
              <w:t>procedural guidance on program administration</w:t>
            </w:r>
          </w:p>
          <w:p w14:paraId="7B651D82" w14:textId="77777777" w:rsidR="001078CF" w:rsidRPr="0000716D" w:rsidRDefault="001078CF" w:rsidP="00522825">
            <w:pPr>
              <w:pStyle w:val="ListParagraph"/>
              <w:numPr>
                <w:ilvl w:val="0"/>
                <w:numId w:val="21"/>
              </w:numPr>
              <w:tabs>
                <w:tab w:val="left" w:pos="335"/>
              </w:tabs>
              <w:spacing w:after="0" w:line="240" w:lineRule="auto"/>
              <w:ind w:left="695"/>
            </w:pPr>
            <w:r w:rsidRPr="0000716D">
              <w:t>informational/marketing/publicizing materials</w:t>
            </w:r>
          </w:p>
          <w:p w14:paraId="7129F5D1" w14:textId="77777777" w:rsidR="001078CF" w:rsidRPr="00CF510B" w:rsidRDefault="001078CF" w:rsidP="00F840B2">
            <w:pPr>
              <w:pStyle w:val="ListParagraph"/>
              <w:numPr>
                <w:ilvl w:val="0"/>
                <w:numId w:val="21"/>
              </w:numPr>
              <w:tabs>
                <w:tab w:val="left" w:pos="335"/>
              </w:tabs>
              <w:spacing w:after="0" w:line="240" w:lineRule="auto"/>
              <w:ind w:left="695"/>
              <w:rPr>
                <w:rFonts w:cstheme="minorHAnsi"/>
              </w:rPr>
            </w:pPr>
            <w:r w:rsidRPr="0000716D">
              <w:t>general correspondence</w:t>
            </w:r>
          </w:p>
          <w:p w14:paraId="71C83AD9" w14:textId="77777777" w:rsidR="001078CF" w:rsidRPr="0000716D" w:rsidRDefault="001078CF" w:rsidP="00F840B2">
            <w:pPr>
              <w:pStyle w:val="ListParagraph"/>
              <w:numPr>
                <w:ilvl w:val="0"/>
                <w:numId w:val="21"/>
              </w:numPr>
              <w:tabs>
                <w:tab w:val="left" w:pos="335"/>
              </w:tabs>
              <w:spacing w:after="0" w:line="240" w:lineRule="auto"/>
              <w:ind w:left="695"/>
            </w:pPr>
            <w:r w:rsidRPr="0000716D">
              <w:t>reports to OPM</w:t>
            </w:r>
          </w:p>
          <w:p w14:paraId="298694A3" w14:textId="77777777" w:rsidR="001078CF" w:rsidRPr="00462276" w:rsidRDefault="001078CF" w:rsidP="00F840B2">
            <w:pPr>
              <w:pStyle w:val="ListParagraph"/>
              <w:numPr>
                <w:ilvl w:val="0"/>
                <w:numId w:val="21"/>
              </w:numPr>
              <w:tabs>
                <w:tab w:val="left" w:pos="335"/>
              </w:tabs>
              <w:spacing w:after="0" w:line="240" w:lineRule="auto"/>
              <w:ind w:left="695"/>
            </w:pPr>
            <w:r>
              <w:t>m</w:t>
            </w:r>
            <w:r w:rsidRPr="0000716D">
              <w:t>emorand</w:t>
            </w:r>
            <w:r>
              <w:t>a of understanding (</w:t>
            </w:r>
            <w:r w:rsidRPr="00462276">
              <w:t>MOU</w:t>
            </w:r>
            <w:r>
              <w:t>)</w:t>
            </w:r>
            <w:r w:rsidRPr="00462276">
              <w:t xml:space="preserve"> and significant documentation of bargaining unit </w:t>
            </w:r>
            <w:r>
              <w:t>negotiations</w:t>
            </w:r>
          </w:p>
          <w:p w14:paraId="2B010A28" w14:textId="77777777" w:rsidR="001078CF" w:rsidRPr="00462276" w:rsidRDefault="001078CF" w:rsidP="00F840B2">
            <w:pPr>
              <w:pStyle w:val="ListParagraph"/>
              <w:numPr>
                <w:ilvl w:val="0"/>
                <w:numId w:val="21"/>
              </w:numPr>
              <w:tabs>
                <w:tab w:val="left" w:pos="335"/>
              </w:tabs>
              <w:spacing w:after="0" w:line="240" w:lineRule="auto"/>
              <w:ind w:left="695"/>
            </w:pPr>
            <w:r w:rsidRPr="00462276">
              <w:t>documentation of program structure and details as uniquely instituted by agency</w:t>
            </w:r>
          </w:p>
          <w:p w14:paraId="61EF6B4F" w14:textId="77777777" w:rsidR="001078CF" w:rsidRDefault="001078CF" w:rsidP="00F840B2">
            <w:pPr>
              <w:tabs>
                <w:tab w:val="left" w:pos="335"/>
              </w:tabs>
              <w:spacing w:after="0" w:line="240" w:lineRule="auto"/>
              <w:ind w:left="335"/>
            </w:pPr>
          </w:p>
          <w:p w14:paraId="38F49A2E" w14:textId="77777777" w:rsidR="001078CF" w:rsidRPr="00CF510B" w:rsidRDefault="001078CF" w:rsidP="00F840B2">
            <w:pPr>
              <w:tabs>
                <w:tab w:val="left" w:pos="335"/>
              </w:tabs>
              <w:spacing w:after="0" w:line="240" w:lineRule="auto"/>
              <w:ind w:left="335"/>
              <w:rPr>
                <w:rFonts w:cstheme="minorHAnsi"/>
              </w:rPr>
            </w:pPr>
            <w:r w:rsidRPr="00DB3F27">
              <w:rPr>
                <w:b/>
              </w:rPr>
              <w:t>Exclusion</w:t>
            </w:r>
            <w:r>
              <w:t>:  This item does not cover records held at the OPM office overseeing the phased retirement program for the entire Government.</w:t>
            </w:r>
          </w:p>
        </w:tc>
        <w:tc>
          <w:tcPr>
            <w:tcW w:w="2430" w:type="dxa"/>
          </w:tcPr>
          <w:p w14:paraId="1ACBA071" w14:textId="77777777" w:rsidR="001078CF" w:rsidRPr="003071E8" w:rsidRDefault="001078CF" w:rsidP="00F840B2">
            <w:pPr>
              <w:tabs>
                <w:tab w:val="left" w:pos="0"/>
                <w:tab w:val="left" w:pos="1080"/>
              </w:tabs>
              <w:spacing w:after="0" w:line="240" w:lineRule="auto"/>
            </w:pPr>
            <w:r w:rsidRPr="001C352D">
              <w:rPr>
                <w:b/>
              </w:rPr>
              <w:t>Temporary</w:t>
            </w:r>
            <w:r w:rsidRPr="00843FEB">
              <w:t xml:space="preserve">.  Destroy </w:t>
            </w:r>
            <w:r>
              <w:t xml:space="preserve">when </w:t>
            </w:r>
            <w:r w:rsidRPr="00843FEB">
              <w:t>3 years old</w:t>
            </w:r>
            <w:r>
              <w:t xml:space="preserve"> or 3 years after revision or replacement, as appropriate</w:t>
            </w:r>
            <w:r w:rsidRPr="00843FEB">
              <w:t xml:space="preserve">, but longer </w:t>
            </w:r>
          </w:p>
          <w:p w14:paraId="10D6DEB4" w14:textId="77777777" w:rsidR="001078CF" w:rsidRPr="003071E8" w:rsidRDefault="001078CF" w:rsidP="00522825">
            <w:pPr>
              <w:spacing w:after="0" w:line="240" w:lineRule="auto"/>
            </w:pPr>
            <w:r w:rsidRPr="00843FEB">
              <w:t>retention is authorized if required for business use.</w:t>
            </w:r>
          </w:p>
        </w:tc>
        <w:tc>
          <w:tcPr>
            <w:tcW w:w="1292" w:type="dxa"/>
          </w:tcPr>
          <w:p w14:paraId="1E2A5617" w14:textId="77777777" w:rsidR="001078CF" w:rsidRPr="008B514C" w:rsidRDefault="001078CF" w:rsidP="00522825">
            <w:pPr>
              <w:spacing w:after="0" w:line="240" w:lineRule="auto"/>
              <w:rPr>
                <w:rFonts w:cstheme="minorHAnsi"/>
              </w:rPr>
            </w:pPr>
            <w:r>
              <w:rPr>
                <w:rFonts w:cstheme="minorHAnsi"/>
              </w:rPr>
              <w:t>DAA-GRS-2016-0007-</w:t>
            </w:r>
            <w:r w:rsidRPr="008B514C">
              <w:rPr>
                <w:rFonts w:cstheme="minorHAnsi"/>
              </w:rPr>
              <w:t>0001</w:t>
            </w:r>
          </w:p>
        </w:tc>
      </w:tr>
      <w:tr w:rsidR="00F840B2" w:rsidRPr="00761183" w14:paraId="0CA024DD" w14:textId="77777777" w:rsidTr="003D7986">
        <w:tc>
          <w:tcPr>
            <w:tcW w:w="655" w:type="dxa"/>
          </w:tcPr>
          <w:p w14:paraId="73B34C79" w14:textId="77777777" w:rsidR="00F840B2" w:rsidRPr="008B514C" w:rsidRDefault="00F840B2" w:rsidP="00F840B2">
            <w:pPr>
              <w:spacing w:after="0" w:line="240" w:lineRule="auto"/>
              <w:jc w:val="center"/>
              <w:rPr>
                <w:rFonts w:cstheme="minorHAnsi"/>
              </w:rPr>
            </w:pPr>
            <w:r>
              <w:rPr>
                <w:rFonts w:cstheme="minorHAnsi"/>
              </w:rPr>
              <w:t>051</w:t>
            </w:r>
          </w:p>
        </w:tc>
        <w:tc>
          <w:tcPr>
            <w:tcW w:w="10145" w:type="dxa"/>
            <w:gridSpan w:val="2"/>
          </w:tcPr>
          <w:p w14:paraId="4089C2A8" w14:textId="77777777" w:rsidR="00F840B2" w:rsidRPr="001F4830" w:rsidRDefault="00F840B2" w:rsidP="00F840B2">
            <w:pPr>
              <w:spacing w:after="0" w:line="240" w:lineRule="auto"/>
              <w:rPr>
                <w:b/>
              </w:rPr>
            </w:pPr>
            <w:r>
              <w:rPr>
                <w:b/>
              </w:rPr>
              <w:t>Phased retirement</w:t>
            </w:r>
            <w:r w:rsidRPr="008B514C">
              <w:rPr>
                <w:b/>
              </w:rPr>
              <w:t xml:space="preserve"> </w:t>
            </w:r>
            <w:r>
              <w:rPr>
                <w:b/>
              </w:rPr>
              <w:t>i</w:t>
            </w:r>
            <w:r w:rsidRPr="001F4830">
              <w:rPr>
                <w:b/>
              </w:rPr>
              <w:t>ndividual case files.</w:t>
            </w:r>
          </w:p>
          <w:p w14:paraId="7FFD74E1" w14:textId="77777777" w:rsidR="00F840B2" w:rsidRPr="0000716D" w:rsidRDefault="00F840B2" w:rsidP="00F840B2">
            <w:pPr>
              <w:tabs>
                <w:tab w:val="left" w:pos="335"/>
                <w:tab w:val="left" w:pos="1080"/>
              </w:tabs>
              <w:spacing w:after="0" w:line="240" w:lineRule="auto"/>
              <w:ind w:left="335"/>
            </w:pPr>
            <w:r w:rsidRPr="00843FEB">
              <w:t>C</w:t>
            </w:r>
            <w:r w:rsidRPr="0000716D">
              <w:t>ase files of individual employee participation in phased retirement, such as:</w:t>
            </w:r>
          </w:p>
          <w:p w14:paraId="3979D160" w14:textId="77777777" w:rsidR="00F840B2" w:rsidRDefault="00F840B2" w:rsidP="00F840B2">
            <w:pPr>
              <w:pStyle w:val="ListParagraph"/>
              <w:numPr>
                <w:ilvl w:val="0"/>
                <w:numId w:val="22"/>
              </w:numPr>
              <w:tabs>
                <w:tab w:val="left" w:pos="335"/>
              </w:tabs>
              <w:spacing w:after="0" w:line="240" w:lineRule="auto"/>
              <w:ind w:left="695"/>
            </w:pPr>
            <w:r>
              <w:t>a</w:t>
            </w:r>
            <w:r w:rsidRPr="0000716D">
              <w:t xml:space="preserve">pplication for </w:t>
            </w:r>
            <w:r>
              <w:t>i</w:t>
            </w:r>
            <w:r w:rsidRPr="0000716D">
              <w:t xml:space="preserve">mmediate </w:t>
            </w:r>
            <w:r>
              <w:t>r</w:t>
            </w:r>
            <w:r w:rsidRPr="0000716D">
              <w:t>etirement</w:t>
            </w:r>
          </w:p>
          <w:p w14:paraId="1162309C" w14:textId="77777777" w:rsidR="00F840B2" w:rsidRPr="0000716D" w:rsidRDefault="00F840B2" w:rsidP="00F840B2">
            <w:pPr>
              <w:pStyle w:val="ListParagraph"/>
              <w:numPr>
                <w:ilvl w:val="0"/>
                <w:numId w:val="22"/>
              </w:numPr>
              <w:tabs>
                <w:tab w:val="left" w:pos="335"/>
              </w:tabs>
              <w:spacing w:after="0" w:line="240" w:lineRule="auto"/>
              <w:ind w:left="695"/>
            </w:pPr>
            <w:r w:rsidRPr="0000716D">
              <w:t>evidence of eligibility</w:t>
            </w:r>
          </w:p>
          <w:p w14:paraId="7EEF9740" w14:textId="77777777" w:rsidR="00F840B2" w:rsidRPr="0000716D" w:rsidRDefault="00F840B2" w:rsidP="00F840B2">
            <w:pPr>
              <w:pStyle w:val="ListParagraph"/>
              <w:numPr>
                <w:ilvl w:val="0"/>
                <w:numId w:val="22"/>
              </w:numPr>
              <w:tabs>
                <w:tab w:val="left" w:pos="335"/>
              </w:tabs>
              <w:spacing w:after="0" w:line="240" w:lineRule="auto"/>
              <w:ind w:left="695"/>
            </w:pPr>
            <w:r w:rsidRPr="0000716D">
              <w:t>reviews/recommendations by supervisor and others</w:t>
            </w:r>
          </w:p>
          <w:p w14:paraId="488A7680" w14:textId="77777777" w:rsidR="00F840B2" w:rsidRPr="0000716D" w:rsidRDefault="00F840B2" w:rsidP="00F840B2">
            <w:pPr>
              <w:pStyle w:val="ListParagraph"/>
              <w:numPr>
                <w:ilvl w:val="0"/>
                <w:numId w:val="22"/>
              </w:numPr>
              <w:tabs>
                <w:tab w:val="left" w:pos="335"/>
              </w:tabs>
              <w:spacing w:after="0" w:line="240" w:lineRule="auto"/>
              <w:ind w:left="695"/>
            </w:pPr>
            <w:r w:rsidRPr="0000716D">
              <w:t>notice of approval or disapproval</w:t>
            </w:r>
          </w:p>
          <w:p w14:paraId="02F0D6E8" w14:textId="77777777" w:rsidR="00F840B2" w:rsidRPr="0000716D" w:rsidRDefault="00F840B2" w:rsidP="00F840B2">
            <w:pPr>
              <w:pStyle w:val="ListParagraph"/>
              <w:numPr>
                <w:ilvl w:val="0"/>
                <w:numId w:val="22"/>
              </w:numPr>
              <w:tabs>
                <w:tab w:val="left" w:pos="335"/>
              </w:tabs>
              <w:spacing w:after="0" w:line="240" w:lineRule="auto"/>
              <w:ind w:left="695"/>
            </w:pPr>
            <w:r w:rsidRPr="0000716D">
              <w:t>retirement benefit estimates</w:t>
            </w:r>
          </w:p>
          <w:p w14:paraId="6C7143EB" w14:textId="77777777" w:rsidR="00F840B2" w:rsidRPr="0000716D" w:rsidRDefault="00F840B2" w:rsidP="00F840B2">
            <w:pPr>
              <w:pStyle w:val="ListParagraph"/>
              <w:numPr>
                <w:ilvl w:val="0"/>
                <w:numId w:val="22"/>
              </w:numPr>
              <w:tabs>
                <w:tab w:val="left" w:pos="335"/>
              </w:tabs>
              <w:spacing w:after="0" w:line="240" w:lineRule="auto"/>
              <w:ind w:left="695"/>
            </w:pPr>
            <w:r w:rsidRPr="0000716D">
              <w:t>annuity calculations</w:t>
            </w:r>
          </w:p>
          <w:p w14:paraId="50476CB5" w14:textId="77777777" w:rsidR="00F840B2" w:rsidRPr="0000716D" w:rsidRDefault="00F840B2" w:rsidP="00F840B2">
            <w:pPr>
              <w:pStyle w:val="ListParagraph"/>
              <w:numPr>
                <w:ilvl w:val="0"/>
                <w:numId w:val="22"/>
              </w:numPr>
              <w:tabs>
                <w:tab w:val="left" w:pos="335"/>
              </w:tabs>
              <w:spacing w:after="0" w:line="240" w:lineRule="auto"/>
              <w:ind w:left="695"/>
            </w:pPr>
            <w:r>
              <w:t>p</w:t>
            </w:r>
            <w:r w:rsidRPr="0000716D">
              <w:t xml:space="preserve">hased </w:t>
            </w:r>
            <w:r>
              <w:t>r</w:t>
            </w:r>
            <w:r w:rsidRPr="0000716D">
              <w:t xml:space="preserve">etirement </w:t>
            </w:r>
            <w:r>
              <w:t>a</w:t>
            </w:r>
            <w:r w:rsidRPr="0000716D">
              <w:t>greement</w:t>
            </w:r>
          </w:p>
          <w:p w14:paraId="5F224088" w14:textId="77777777" w:rsidR="00F840B2" w:rsidRPr="0000716D" w:rsidRDefault="00F840B2" w:rsidP="00F840B2">
            <w:pPr>
              <w:pStyle w:val="ListParagraph"/>
              <w:numPr>
                <w:ilvl w:val="0"/>
                <w:numId w:val="22"/>
              </w:numPr>
              <w:tabs>
                <w:tab w:val="left" w:pos="335"/>
              </w:tabs>
              <w:spacing w:after="0" w:line="240" w:lineRule="auto"/>
              <w:ind w:left="695"/>
            </w:pPr>
            <w:r w:rsidRPr="0000716D">
              <w:t>records documenting knowledge transfer activities</w:t>
            </w:r>
          </w:p>
          <w:p w14:paraId="40128702" w14:textId="77777777" w:rsidR="00F840B2" w:rsidRDefault="00F840B2" w:rsidP="00F840B2">
            <w:pPr>
              <w:pStyle w:val="ListParagraph"/>
              <w:numPr>
                <w:ilvl w:val="0"/>
                <w:numId w:val="22"/>
              </w:numPr>
              <w:tabs>
                <w:tab w:val="left" w:pos="335"/>
              </w:tabs>
              <w:spacing w:after="0" w:line="240" w:lineRule="auto"/>
              <w:ind w:left="695"/>
            </w:pPr>
            <w:r w:rsidRPr="0000716D">
              <w:t>confidentiality agree</w:t>
            </w:r>
            <w:r>
              <w:t>ment with mentees</w:t>
            </w:r>
          </w:p>
          <w:p w14:paraId="21D23D42" w14:textId="77777777" w:rsidR="00F840B2" w:rsidRDefault="00F840B2" w:rsidP="00F840B2">
            <w:pPr>
              <w:pStyle w:val="ListParagraph"/>
              <w:numPr>
                <w:ilvl w:val="0"/>
                <w:numId w:val="22"/>
              </w:numPr>
              <w:tabs>
                <w:tab w:val="left" w:pos="335"/>
              </w:tabs>
              <w:spacing w:after="0" w:line="240" w:lineRule="auto"/>
              <w:ind w:left="695"/>
            </w:pPr>
            <w:r>
              <w:t>action/project plans and logs</w:t>
            </w:r>
          </w:p>
          <w:p w14:paraId="1984C52D" w14:textId="77777777" w:rsidR="00F840B2" w:rsidRDefault="00F840B2" w:rsidP="00F840B2">
            <w:pPr>
              <w:pStyle w:val="ListParagraph"/>
              <w:numPr>
                <w:ilvl w:val="0"/>
                <w:numId w:val="21"/>
              </w:numPr>
              <w:tabs>
                <w:tab w:val="left" w:pos="335"/>
              </w:tabs>
              <w:spacing w:after="0" w:line="240" w:lineRule="auto"/>
              <w:ind w:left="695"/>
            </w:pPr>
            <w:r>
              <w:t>correspondence</w:t>
            </w:r>
          </w:p>
          <w:p w14:paraId="158D0BAB" w14:textId="77777777" w:rsidR="00F840B2" w:rsidRDefault="00F840B2" w:rsidP="00F840B2">
            <w:pPr>
              <w:tabs>
                <w:tab w:val="left" w:pos="335"/>
              </w:tabs>
              <w:spacing w:after="0" w:line="240" w:lineRule="auto"/>
              <w:ind w:left="335"/>
            </w:pPr>
          </w:p>
          <w:p w14:paraId="5F055B10" w14:textId="77777777" w:rsidR="00F840B2" w:rsidRPr="00804180" w:rsidRDefault="00F840B2" w:rsidP="00F840B2">
            <w:pPr>
              <w:tabs>
                <w:tab w:val="left" w:pos="335"/>
              </w:tabs>
              <w:spacing w:after="0" w:line="240" w:lineRule="auto"/>
              <w:ind w:left="335"/>
              <w:rPr>
                <w:b/>
              </w:rPr>
            </w:pPr>
            <w:r w:rsidRPr="00804180">
              <w:rPr>
                <w:b/>
              </w:rPr>
              <w:t xml:space="preserve">Note:  </w:t>
            </w:r>
            <w:r>
              <w:rPr>
                <w:color w:val="222222"/>
                <w:shd w:val="clear" w:color="auto" w:fill="FFFFFF"/>
              </w:rPr>
              <w:t>Agencies may choose to file these records with the employee’s retirement file, in which case the agency should retain them according to the retention period for the retirement file, per GRS 2.5, item 020.</w:t>
            </w:r>
          </w:p>
          <w:p w14:paraId="6B835AA3" w14:textId="77777777" w:rsidR="00F840B2" w:rsidRDefault="00F840B2" w:rsidP="00F840B2">
            <w:pPr>
              <w:tabs>
                <w:tab w:val="left" w:pos="335"/>
              </w:tabs>
              <w:spacing w:after="0" w:line="240" w:lineRule="auto"/>
              <w:ind w:left="335"/>
              <w:rPr>
                <w:b/>
              </w:rPr>
            </w:pPr>
          </w:p>
          <w:p w14:paraId="293919A6" w14:textId="77777777" w:rsidR="00F840B2" w:rsidRPr="00B957AE" w:rsidRDefault="00F840B2" w:rsidP="00F840B2">
            <w:pPr>
              <w:tabs>
                <w:tab w:val="left" w:pos="335"/>
              </w:tabs>
              <w:spacing w:after="0" w:line="240" w:lineRule="auto"/>
              <w:ind w:left="335"/>
            </w:pPr>
            <w:r w:rsidRPr="00DB3F27">
              <w:rPr>
                <w:b/>
              </w:rPr>
              <w:t>Exclusion</w:t>
            </w:r>
            <w:r>
              <w:t>:  This item does not cover records held at OPM concerning staff at other agencies.</w:t>
            </w:r>
          </w:p>
        </w:tc>
        <w:tc>
          <w:tcPr>
            <w:tcW w:w="2430" w:type="dxa"/>
          </w:tcPr>
          <w:p w14:paraId="0E99C7A7" w14:textId="77777777" w:rsidR="00F840B2" w:rsidRPr="008B514C" w:rsidRDefault="00F840B2" w:rsidP="00F840B2">
            <w:pPr>
              <w:spacing w:after="0" w:line="240" w:lineRule="auto"/>
              <w:rPr>
                <w:rFonts w:cstheme="minorHAnsi"/>
              </w:rPr>
            </w:pPr>
            <w:r w:rsidRPr="001C352D">
              <w:rPr>
                <w:b/>
              </w:rPr>
              <w:t>Temporary</w:t>
            </w:r>
            <w:r w:rsidRPr="00843FEB">
              <w:t xml:space="preserve">.  Destroy </w:t>
            </w:r>
            <w:r>
              <w:t>1</w:t>
            </w:r>
            <w:r w:rsidRPr="00843FEB">
              <w:t xml:space="preserve"> year after employee participation concludes</w:t>
            </w:r>
            <w:r>
              <w:t xml:space="preserve"> or the employee retires</w:t>
            </w:r>
            <w:r w:rsidRPr="00843FEB">
              <w:t>, but longer retention is authorized if required for business use.</w:t>
            </w:r>
          </w:p>
        </w:tc>
        <w:tc>
          <w:tcPr>
            <w:tcW w:w="1292" w:type="dxa"/>
          </w:tcPr>
          <w:p w14:paraId="3C8D1D0C" w14:textId="77777777" w:rsidR="00F840B2" w:rsidRPr="008B514C" w:rsidRDefault="00F840B2" w:rsidP="00F840B2">
            <w:pPr>
              <w:spacing w:after="0" w:line="240" w:lineRule="auto"/>
              <w:rPr>
                <w:rFonts w:cstheme="minorHAnsi"/>
              </w:rPr>
            </w:pPr>
            <w:r>
              <w:rPr>
                <w:rFonts w:cstheme="minorHAnsi"/>
              </w:rPr>
              <w:t>DAA-GRS-2016-0007-</w:t>
            </w:r>
            <w:r w:rsidRPr="008B514C">
              <w:rPr>
                <w:rFonts w:cstheme="minorHAnsi"/>
              </w:rPr>
              <w:t>0002</w:t>
            </w:r>
          </w:p>
        </w:tc>
      </w:tr>
    </w:tbl>
    <w:p w14:paraId="76B2DB0B" w14:textId="77777777" w:rsidR="00BF1680" w:rsidRPr="00BF1680" w:rsidRDefault="00BF1680" w:rsidP="00CB6280">
      <w:pPr>
        <w:spacing w:after="0" w:line="240" w:lineRule="auto"/>
        <w:rPr>
          <w:b/>
        </w:rPr>
      </w:pPr>
    </w:p>
    <w:sectPr w:rsidR="00BF1680" w:rsidRPr="00BF1680" w:rsidSect="00C07560">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EFE7" w14:textId="77777777" w:rsidR="009603D8" w:rsidRDefault="009603D8" w:rsidP="008F3172">
      <w:pPr>
        <w:spacing w:after="0" w:line="240" w:lineRule="auto"/>
      </w:pPr>
      <w:r>
        <w:separator/>
      </w:r>
    </w:p>
  </w:endnote>
  <w:endnote w:type="continuationSeparator" w:id="0">
    <w:p w14:paraId="2DA60237" w14:textId="77777777" w:rsidR="009603D8" w:rsidRDefault="009603D8" w:rsidP="008F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9BD" w14:textId="77777777" w:rsidR="00B406BB" w:rsidRDefault="00B40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AA6C" w14:textId="77777777" w:rsidR="00377A8E" w:rsidRDefault="0037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49A9" w14:textId="77777777" w:rsidR="00B406BB" w:rsidRDefault="00B4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D81C" w14:textId="77777777" w:rsidR="009603D8" w:rsidRDefault="009603D8" w:rsidP="008F3172">
      <w:pPr>
        <w:spacing w:after="0" w:line="240" w:lineRule="auto"/>
      </w:pPr>
      <w:r>
        <w:separator/>
      </w:r>
    </w:p>
  </w:footnote>
  <w:footnote w:type="continuationSeparator" w:id="0">
    <w:p w14:paraId="7F501DCD" w14:textId="77777777" w:rsidR="009603D8" w:rsidRDefault="009603D8" w:rsidP="008F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4349" w14:textId="77777777" w:rsidR="00B406BB" w:rsidRDefault="00B40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C1D5" w14:textId="6644C2AC" w:rsidR="00CB6280" w:rsidRPr="00A31178" w:rsidRDefault="00B406BB" w:rsidP="00D57FAD">
    <w:pPr>
      <w:pStyle w:val="Header"/>
      <w:tabs>
        <w:tab w:val="clear" w:pos="9360"/>
        <w:tab w:val="right" w:pos="14400"/>
      </w:tabs>
      <w:rPr>
        <w:b/>
        <w:bCs/>
        <w:sz w:val="20"/>
        <w:szCs w:val="20"/>
      </w:rPr>
    </w:pPr>
    <w:r>
      <w:rPr>
        <w:b/>
        <w:bCs/>
        <w:sz w:val="20"/>
        <w:szCs w:val="20"/>
      </w:rPr>
      <w:t xml:space="preserve">Last updated in </w:t>
    </w:r>
    <w:r w:rsidR="00CB6280" w:rsidRPr="00A31178">
      <w:rPr>
        <w:b/>
        <w:bCs/>
        <w:sz w:val="20"/>
        <w:szCs w:val="20"/>
      </w:rPr>
      <w:t xml:space="preserve">Transmittal No. </w:t>
    </w:r>
    <w:r w:rsidR="009303A7">
      <w:rPr>
        <w:b/>
        <w:bCs/>
        <w:sz w:val="20"/>
        <w:szCs w:val="20"/>
      </w:rPr>
      <w:t>31</w:t>
    </w:r>
    <w:r w:rsidR="00CB6280" w:rsidRPr="00A31178">
      <w:rPr>
        <w:b/>
        <w:bCs/>
        <w:sz w:val="20"/>
        <w:szCs w:val="20"/>
      </w:rPr>
      <w:tab/>
    </w:r>
    <w:r w:rsidR="00CB6280" w:rsidRPr="00A31178">
      <w:rPr>
        <w:b/>
        <w:bCs/>
        <w:sz w:val="20"/>
        <w:szCs w:val="20"/>
      </w:rPr>
      <w:tab/>
      <w:t>General Records Schedule</w:t>
    </w:r>
    <w:r w:rsidR="00CB6280">
      <w:rPr>
        <w:b/>
        <w:bCs/>
        <w:sz w:val="20"/>
        <w:szCs w:val="20"/>
      </w:rPr>
      <w:t xml:space="preserve"> 2.5</w:t>
    </w:r>
  </w:p>
  <w:p w14:paraId="5F91CEBC" w14:textId="77777777" w:rsidR="00394B06" w:rsidRDefault="00394B06" w:rsidP="00394B06">
    <w:pPr>
      <w:pStyle w:val="Header"/>
      <w:rPr>
        <w:b/>
        <w:bCs/>
        <w:sz w:val="20"/>
        <w:szCs w:val="20"/>
      </w:rPr>
    </w:pPr>
    <w:r>
      <w:rPr>
        <w:b/>
        <w:bCs/>
        <w:sz w:val="20"/>
        <w:szCs w:val="20"/>
      </w:rPr>
      <w:t>April 2020</w:t>
    </w:r>
  </w:p>
  <w:p w14:paraId="77B4F1A3" w14:textId="77777777" w:rsidR="004C1C25" w:rsidRDefault="004C1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88E8" w14:textId="77777777" w:rsidR="00B406BB" w:rsidRDefault="00B4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E01"/>
    <w:multiLevelType w:val="hybridMultilevel"/>
    <w:tmpl w:val="505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F15"/>
    <w:multiLevelType w:val="hybridMultilevel"/>
    <w:tmpl w:val="F63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5F70"/>
    <w:multiLevelType w:val="hybridMultilevel"/>
    <w:tmpl w:val="AFC24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726DC"/>
    <w:multiLevelType w:val="hybridMultilevel"/>
    <w:tmpl w:val="FD8CA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DE5F65"/>
    <w:multiLevelType w:val="hybridMultilevel"/>
    <w:tmpl w:val="DC6EF42C"/>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5" w15:restartNumberingAfterBreak="0">
    <w:nsid w:val="2B2E375D"/>
    <w:multiLevelType w:val="hybridMultilevel"/>
    <w:tmpl w:val="61D4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C3712"/>
    <w:multiLevelType w:val="hybridMultilevel"/>
    <w:tmpl w:val="FA6000AE"/>
    <w:lvl w:ilvl="0" w:tplc="E3F4C89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3295357C"/>
    <w:multiLevelType w:val="hybridMultilevel"/>
    <w:tmpl w:val="41328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4FB46A5"/>
    <w:multiLevelType w:val="hybridMultilevel"/>
    <w:tmpl w:val="74A6A2C0"/>
    <w:lvl w:ilvl="0" w:tplc="25C2DC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435E2949"/>
    <w:multiLevelType w:val="hybridMultilevel"/>
    <w:tmpl w:val="33AE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50CAF"/>
    <w:multiLevelType w:val="hybridMultilevel"/>
    <w:tmpl w:val="6F1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86C"/>
    <w:multiLevelType w:val="hybridMultilevel"/>
    <w:tmpl w:val="ABB4B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D719BD"/>
    <w:multiLevelType w:val="hybridMultilevel"/>
    <w:tmpl w:val="E5162706"/>
    <w:lvl w:ilvl="0" w:tplc="98800576">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5D7C2038"/>
    <w:multiLevelType w:val="hybridMultilevel"/>
    <w:tmpl w:val="D49CE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CB63C8"/>
    <w:multiLevelType w:val="hybridMultilevel"/>
    <w:tmpl w:val="640EE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1A5F77"/>
    <w:multiLevelType w:val="hybridMultilevel"/>
    <w:tmpl w:val="55540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BF6AF0"/>
    <w:multiLevelType w:val="hybridMultilevel"/>
    <w:tmpl w:val="4DC2626C"/>
    <w:lvl w:ilvl="0" w:tplc="AC22233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67435430"/>
    <w:multiLevelType w:val="hybridMultilevel"/>
    <w:tmpl w:val="432EA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63F90"/>
    <w:multiLevelType w:val="hybridMultilevel"/>
    <w:tmpl w:val="6D86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6310E"/>
    <w:multiLevelType w:val="hybridMultilevel"/>
    <w:tmpl w:val="404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D48CF"/>
    <w:multiLevelType w:val="hybridMultilevel"/>
    <w:tmpl w:val="8D06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A66C5"/>
    <w:multiLevelType w:val="hybridMultilevel"/>
    <w:tmpl w:val="E1645712"/>
    <w:lvl w:ilvl="0" w:tplc="A2B46E46">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3"/>
  </w:num>
  <w:num w:numId="4">
    <w:abstractNumId w:val="11"/>
  </w:num>
  <w:num w:numId="5">
    <w:abstractNumId w:val="9"/>
  </w:num>
  <w:num w:numId="6">
    <w:abstractNumId w:val="2"/>
  </w:num>
  <w:num w:numId="7">
    <w:abstractNumId w:val="14"/>
  </w:num>
  <w:num w:numId="8">
    <w:abstractNumId w:val="20"/>
  </w:num>
  <w:num w:numId="9">
    <w:abstractNumId w:val="10"/>
  </w:num>
  <w:num w:numId="10">
    <w:abstractNumId w:val="19"/>
  </w:num>
  <w:num w:numId="11">
    <w:abstractNumId w:val="0"/>
  </w:num>
  <w:num w:numId="12">
    <w:abstractNumId w:val="8"/>
  </w:num>
  <w:num w:numId="13">
    <w:abstractNumId w:val="12"/>
  </w:num>
  <w:num w:numId="14">
    <w:abstractNumId w:val="16"/>
  </w:num>
  <w:num w:numId="15">
    <w:abstractNumId w:val="6"/>
  </w:num>
  <w:num w:numId="16">
    <w:abstractNumId w:val="21"/>
  </w:num>
  <w:num w:numId="17">
    <w:abstractNumId w:val="15"/>
  </w:num>
  <w:num w:numId="18">
    <w:abstractNumId w:val="3"/>
  </w:num>
  <w:num w:numId="19">
    <w:abstractNumId w:val="5"/>
  </w:num>
  <w:num w:numId="20">
    <w:abstractNumId w:val="1"/>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27"/>
    <w:rsid w:val="0000636D"/>
    <w:rsid w:val="00011F2C"/>
    <w:rsid w:val="0001218F"/>
    <w:rsid w:val="00012CD7"/>
    <w:rsid w:val="00016695"/>
    <w:rsid w:val="00021156"/>
    <w:rsid w:val="00022AAF"/>
    <w:rsid w:val="00040FBD"/>
    <w:rsid w:val="0006270F"/>
    <w:rsid w:val="0007356F"/>
    <w:rsid w:val="000E15C3"/>
    <w:rsid w:val="001078CF"/>
    <w:rsid w:val="00116997"/>
    <w:rsid w:val="00122DD3"/>
    <w:rsid w:val="001378B4"/>
    <w:rsid w:val="001507C2"/>
    <w:rsid w:val="001515A4"/>
    <w:rsid w:val="00190785"/>
    <w:rsid w:val="001929E8"/>
    <w:rsid w:val="001A6F2A"/>
    <w:rsid w:val="001B56B0"/>
    <w:rsid w:val="001F0BD4"/>
    <w:rsid w:val="001F2529"/>
    <w:rsid w:val="001F7073"/>
    <w:rsid w:val="00211B3E"/>
    <w:rsid w:val="0021295A"/>
    <w:rsid w:val="002770D1"/>
    <w:rsid w:val="002860C5"/>
    <w:rsid w:val="002B0C8A"/>
    <w:rsid w:val="002C2421"/>
    <w:rsid w:val="002C7DA5"/>
    <w:rsid w:val="002E6C9A"/>
    <w:rsid w:val="002F007D"/>
    <w:rsid w:val="003018D3"/>
    <w:rsid w:val="00364664"/>
    <w:rsid w:val="00366EE0"/>
    <w:rsid w:val="00374814"/>
    <w:rsid w:val="00377A8E"/>
    <w:rsid w:val="00394B06"/>
    <w:rsid w:val="003B261E"/>
    <w:rsid w:val="003B67D0"/>
    <w:rsid w:val="003D0136"/>
    <w:rsid w:val="003D5BB8"/>
    <w:rsid w:val="003D7986"/>
    <w:rsid w:val="004129A2"/>
    <w:rsid w:val="00412BC8"/>
    <w:rsid w:val="00470338"/>
    <w:rsid w:val="00475716"/>
    <w:rsid w:val="00485D96"/>
    <w:rsid w:val="00490567"/>
    <w:rsid w:val="00492D3D"/>
    <w:rsid w:val="004C1C25"/>
    <w:rsid w:val="004D18E3"/>
    <w:rsid w:val="004D42E5"/>
    <w:rsid w:val="004E5527"/>
    <w:rsid w:val="004F7740"/>
    <w:rsid w:val="005033D9"/>
    <w:rsid w:val="0052573E"/>
    <w:rsid w:val="00531653"/>
    <w:rsid w:val="0053207C"/>
    <w:rsid w:val="00535AF8"/>
    <w:rsid w:val="00552BD0"/>
    <w:rsid w:val="00561116"/>
    <w:rsid w:val="005A7305"/>
    <w:rsid w:val="005B121A"/>
    <w:rsid w:val="005E78C0"/>
    <w:rsid w:val="00632DDD"/>
    <w:rsid w:val="0063599D"/>
    <w:rsid w:val="00661899"/>
    <w:rsid w:val="006849C7"/>
    <w:rsid w:val="00695297"/>
    <w:rsid w:val="006972C8"/>
    <w:rsid w:val="006A3355"/>
    <w:rsid w:val="006A338F"/>
    <w:rsid w:val="006C41C9"/>
    <w:rsid w:val="006D1455"/>
    <w:rsid w:val="006E7EEB"/>
    <w:rsid w:val="006F1A96"/>
    <w:rsid w:val="0072170E"/>
    <w:rsid w:val="00726F5F"/>
    <w:rsid w:val="00742FC0"/>
    <w:rsid w:val="00761183"/>
    <w:rsid w:val="00763E19"/>
    <w:rsid w:val="00774567"/>
    <w:rsid w:val="00783CD5"/>
    <w:rsid w:val="0079156E"/>
    <w:rsid w:val="00797028"/>
    <w:rsid w:val="007C6B17"/>
    <w:rsid w:val="007F264F"/>
    <w:rsid w:val="007F3C9F"/>
    <w:rsid w:val="007F5CEF"/>
    <w:rsid w:val="0080238B"/>
    <w:rsid w:val="0080674C"/>
    <w:rsid w:val="008156BD"/>
    <w:rsid w:val="00842A84"/>
    <w:rsid w:val="00843809"/>
    <w:rsid w:val="00857302"/>
    <w:rsid w:val="0087128B"/>
    <w:rsid w:val="00877D44"/>
    <w:rsid w:val="008B514C"/>
    <w:rsid w:val="008E1476"/>
    <w:rsid w:val="008F3172"/>
    <w:rsid w:val="0090533F"/>
    <w:rsid w:val="009073C5"/>
    <w:rsid w:val="009237B0"/>
    <w:rsid w:val="009303A7"/>
    <w:rsid w:val="00934C33"/>
    <w:rsid w:val="009372FB"/>
    <w:rsid w:val="009603D8"/>
    <w:rsid w:val="00967B53"/>
    <w:rsid w:val="0098230F"/>
    <w:rsid w:val="009876C6"/>
    <w:rsid w:val="009B697F"/>
    <w:rsid w:val="009F0175"/>
    <w:rsid w:val="009F1A75"/>
    <w:rsid w:val="009F2BE9"/>
    <w:rsid w:val="00A249AD"/>
    <w:rsid w:val="00A45140"/>
    <w:rsid w:val="00A45E8E"/>
    <w:rsid w:val="00A51DEA"/>
    <w:rsid w:val="00A53851"/>
    <w:rsid w:val="00A55D82"/>
    <w:rsid w:val="00A660B6"/>
    <w:rsid w:val="00A90FF5"/>
    <w:rsid w:val="00AC71C5"/>
    <w:rsid w:val="00AE1F57"/>
    <w:rsid w:val="00B07C36"/>
    <w:rsid w:val="00B14E3E"/>
    <w:rsid w:val="00B168DA"/>
    <w:rsid w:val="00B400C4"/>
    <w:rsid w:val="00B406BB"/>
    <w:rsid w:val="00B4299F"/>
    <w:rsid w:val="00B51D7E"/>
    <w:rsid w:val="00B52B9F"/>
    <w:rsid w:val="00B56974"/>
    <w:rsid w:val="00B659C3"/>
    <w:rsid w:val="00B75E2E"/>
    <w:rsid w:val="00B804F9"/>
    <w:rsid w:val="00BF1680"/>
    <w:rsid w:val="00BF6698"/>
    <w:rsid w:val="00C06B48"/>
    <w:rsid w:val="00C07560"/>
    <w:rsid w:val="00C24CFE"/>
    <w:rsid w:val="00C27532"/>
    <w:rsid w:val="00C563D8"/>
    <w:rsid w:val="00C84706"/>
    <w:rsid w:val="00C87D6B"/>
    <w:rsid w:val="00C93261"/>
    <w:rsid w:val="00C95AE2"/>
    <w:rsid w:val="00CA0D53"/>
    <w:rsid w:val="00CA3DBD"/>
    <w:rsid w:val="00CB6280"/>
    <w:rsid w:val="00CF510B"/>
    <w:rsid w:val="00D01339"/>
    <w:rsid w:val="00D10B88"/>
    <w:rsid w:val="00D160E3"/>
    <w:rsid w:val="00D36146"/>
    <w:rsid w:val="00D57FAD"/>
    <w:rsid w:val="00D60314"/>
    <w:rsid w:val="00D624F6"/>
    <w:rsid w:val="00D62E8A"/>
    <w:rsid w:val="00D75A83"/>
    <w:rsid w:val="00D8186E"/>
    <w:rsid w:val="00D834CB"/>
    <w:rsid w:val="00D865F5"/>
    <w:rsid w:val="00D90CF0"/>
    <w:rsid w:val="00D95A43"/>
    <w:rsid w:val="00DB422A"/>
    <w:rsid w:val="00DC60D9"/>
    <w:rsid w:val="00DC68B5"/>
    <w:rsid w:val="00DE35A1"/>
    <w:rsid w:val="00DE3EDD"/>
    <w:rsid w:val="00DE4BE2"/>
    <w:rsid w:val="00E22508"/>
    <w:rsid w:val="00E31F64"/>
    <w:rsid w:val="00E4039B"/>
    <w:rsid w:val="00E74692"/>
    <w:rsid w:val="00E846E0"/>
    <w:rsid w:val="00E95798"/>
    <w:rsid w:val="00EA2DFA"/>
    <w:rsid w:val="00EB3F27"/>
    <w:rsid w:val="00EC03EA"/>
    <w:rsid w:val="00EC430C"/>
    <w:rsid w:val="00EE257D"/>
    <w:rsid w:val="00EE5078"/>
    <w:rsid w:val="00EF44A0"/>
    <w:rsid w:val="00F305FA"/>
    <w:rsid w:val="00F73614"/>
    <w:rsid w:val="00F840B2"/>
    <w:rsid w:val="00F8664E"/>
    <w:rsid w:val="00F95E33"/>
    <w:rsid w:val="00FA1738"/>
    <w:rsid w:val="00FB30B9"/>
    <w:rsid w:val="00FB37C8"/>
    <w:rsid w:val="00FC21AD"/>
    <w:rsid w:val="00FD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007C"/>
  <w15:docId w15:val="{EFE38313-7C1A-4F68-9825-754C931D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72"/>
    <w:pPr>
      <w:ind w:left="720"/>
      <w:contextualSpacing/>
    </w:pPr>
  </w:style>
  <w:style w:type="paragraph" w:styleId="FootnoteText">
    <w:name w:val="footnote text"/>
    <w:basedOn w:val="Normal"/>
    <w:link w:val="FootnoteTextChar"/>
    <w:uiPriority w:val="99"/>
    <w:semiHidden/>
    <w:unhideWhenUsed/>
    <w:rsid w:val="008F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72"/>
    <w:rPr>
      <w:sz w:val="20"/>
      <w:szCs w:val="20"/>
    </w:rPr>
  </w:style>
  <w:style w:type="character" w:styleId="FootnoteReference">
    <w:name w:val="footnote reference"/>
    <w:basedOn w:val="DefaultParagraphFont"/>
    <w:uiPriority w:val="99"/>
    <w:semiHidden/>
    <w:unhideWhenUsed/>
    <w:rsid w:val="008F3172"/>
    <w:rPr>
      <w:vertAlign w:val="superscript"/>
    </w:rPr>
  </w:style>
  <w:style w:type="paragraph" w:styleId="CommentText">
    <w:name w:val="annotation text"/>
    <w:basedOn w:val="Normal"/>
    <w:link w:val="CommentTextChar"/>
    <w:uiPriority w:val="99"/>
    <w:semiHidden/>
    <w:unhideWhenUsed/>
    <w:rsid w:val="00783CD5"/>
    <w:rPr>
      <w:sz w:val="20"/>
      <w:szCs w:val="20"/>
    </w:rPr>
  </w:style>
  <w:style w:type="character" w:customStyle="1" w:styleId="CommentTextChar">
    <w:name w:val="Comment Text Char"/>
    <w:basedOn w:val="DefaultParagraphFont"/>
    <w:link w:val="CommentText"/>
    <w:uiPriority w:val="99"/>
    <w:semiHidden/>
    <w:rsid w:val="00783CD5"/>
  </w:style>
  <w:style w:type="paragraph" w:styleId="CommentSubject">
    <w:name w:val="annotation subject"/>
    <w:basedOn w:val="CommentText"/>
    <w:next w:val="CommentText"/>
    <w:link w:val="CommentSubjectChar"/>
    <w:uiPriority w:val="99"/>
    <w:semiHidden/>
    <w:unhideWhenUsed/>
    <w:rsid w:val="00783CD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83CD5"/>
    <w:rPr>
      <w:rFonts w:ascii="Times New Roman" w:eastAsia="Times New Roman" w:hAnsi="Times New Roman"/>
      <w:b/>
      <w:bCs/>
    </w:rPr>
  </w:style>
  <w:style w:type="character" w:styleId="Strong">
    <w:name w:val="Strong"/>
    <w:basedOn w:val="DefaultParagraphFont"/>
    <w:uiPriority w:val="22"/>
    <w:qFormat/>
    <w:rsid w:val="00552BD0"/>
    <w:rPr>
      <w:b/>
      <w:bCs/>
    </w:rPr>
  </w:style>
  <w:style w:type="character" w:styleId="Emphasis">
    <w:name w:val="Emphasis"/>
    <w:basedOn w:val="DefaultParagraphFont"/>
    <w:uiPriority w:val="20"/>
    <w:qFormat/>
    <w:rsid w:val="00B804F9"/>
    <w:rPr>
      <w:i/>
      <w:iCs/>
    </w:rPr>
  </w:style>
  <w:style w:type="character" w:styleId="CommentReference">
    <w:name w:val="annotation reference"/>
    <w:basedOn w:val="DefaultParagraphFont"/>
    <w:uiPriority w:val="99"/>
    <w:semiHidden/>
    <w:unhideWhenUsed/>
    <w:rsid w:val="001F2529"/>
    <w:rPr>
      <w:sz w:val="16"/>
      <w:szCs w:val="16"/>
    </w:rPr>
  </w:style>
  <w:style w:type="paragraph" w:styleId="BalloonText">
    <w:name w:val="Balloon Text"/>
    <w:basedOn w:val="Normal"/>
    <w:link w:val="BalloonTextChar"/>
    <w:uiPriority w:val="99"/>
    <w:semiHidden/>
    <w:unhideWhenUsed/>
    <w:rsid w:val="001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29"/>
    <w:rPr>
      <w:rFonts w:ascii="Tahoma" w:hAnsi="Tahoma" w:cs="Tahoma"/>
      <w:sz w:val="16"/>
      <w:szCs w:val="16"/>
    </w:rPr>
  </w:style>
  <w:style w:type="paragraph" w:customStyle="1" w:styleId="Blockquote">
    <w:name w:val="Blockquote"/>
    <w:basedOn w:val="Normal"/>
    <w:uiPriority w:val="99"/>
    <w:rsid w:val="006849C7"/>
    <w:pPr>
      <w:spacing w:before="100" w:after="100" w:line="240" w:lineRule="auto"/>
      <w:ind w:left="360" w:right="360"/>
    </w:pPr>
    <w:rPr>
      <w:rFonts w:ascii="Times New Roman" w:eastAsia="Times New Roman" w:hAnsi="Times New Roman"/>
      <w:sz w:val="24"/>
      <w:szCs w:val="24"/>
    </w:rPr>
  </w:style>
  <w:style w:type="paragraph" w:styleId="Header">
    <w:name w:val="header"/>
    <w:basedOn w:val="Normal"/>
    <w:link w:val="HeaderChar"/>
    <w:uiPriority w:val="99"/>
    <w:unhideWhenUsed/>
    <w:rsid w:val="005E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C0"/>
    <w:rPr>
      <w:sz w:val="22"/>
      <w:szCs w:val="22"/>
    </w:rPr>
  </w:style>
  <w:style w:type="paragraph" w:styleId="Footer">
    <w:name w:val="footer"/>
    <w:basedOn w:val="Normal"/>
    <w:link w:val="FooterChar"/>
    <w:uiPriority w:val="99"/>
    <w:unhideWhenUsed/>
    <w:rsid w:val="005E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C0"/>
    <w:rPr>
      <w:sz w:val="22"/>
      <w:szCs w:val="22"/>
    </w:rPr>
  </w:style>
  <w:style w:type="character" w:styleId="Hyperlink">
    <w:name w:val="Hyperlink"/>
    <w:basedOn w:val="DefaultParagraphFont"/>
    <w:uiPriority w:val="99"/>
    <w:unhideWhenUsed/>
    <w:rsid w:val="002F0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3524E-1D0E-41FB-830B-245FAFA9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GRWilson</dc:creator>
  <cp:lastModifiedBy>Katherene Kim</cp:lastModifiedBy>
  <cp:revision>2</cp:revision>
  <cp:lastPrinted>2014-12-31T12:56:00Z</cp:lastPrinted>
  <dcterms:created xsi:type="dcterms:W3CDTF">2022-02-28T14:49:00Z</dcterms:created>
  <dcterms:modified xsi:type="dcterms:W3CDTF">2022-02-28T14:49:00Z</dcterms:modified>
</cp:coreProperties>
</file>