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E1429E" w14:textId="00E8F460" w:rsidR="005D0882" w:rsidRDefault="00360214">
      <w:pPr>
        <w:spacing w:after="0" w:line="240" w:lineRule="auto"/>
        <w:ind w:left="-720"/>
        <w:jc w:val="center"/>
      </w:pPr>
      <w:bookmarkStart w:id="0" w:name="h.gjdgxs" w:colFirst="0" w:colLast="0"/>
      <w:bookmarkEnd w:id="0"/>
      <w:r>
        <w:rPr>
          <w:b/>
          <w:sz w:val="36"/>
          <w:szCs w:val="36"/>
        </w:rPr>
        <w:t>GENERAL RECORDS SCHEDULE 2</w:t>
      </w:r>
      <w:r w:rsidR="00880B59">
        <w:rPr>
          <w:b/>
          <w:sz w:val="36"/>
          <w:szCs w:val="36"/>
        </w:rPr>
        <w:t>.6:  Employee Training Records</w:t>
      </w:r>
    </w:p>
    <w:p w14:paraId="0FC591BA" w14:textId="77777777" w:rsidR="005D0882" w:rsidRDefault="005D0882">
      <w:pPr>
        <w:spacing w:after="0" w:line="240" w:lineRule="auto"/>
        <w:ind w:left="-720"/>
        <w:jc w:val="center"/>
      </w:pPr>
    </w:p>
    <w:p w14:paraId="29743662" w14:textId="4EF6980F" w:rsidR="005D0882" w:rsidRDefault="00360214" w:rsidP="004E3908">
      <w:pPr>
        <w:spacing w:after="0" w:line="240" w:lineRule="auto"/>
        <w:rPr>
          <w:color w:val="222222"/>
        </w:rPr>
      </w:pPr>
      <w:r>
        <w:rPr>
          <w:color w:val="222222"/>
          <w:highlight w:val="white"/>
        </w:rPr>
        <w:t xml:space="preserve">This schedule covers records about designing, developing, and implementing employee training within Federal agencies that is not </w:t>
      </w:r>
      <w:proofErr w:type="gramStart"/>
      <w:r>
        <w:rPr>
          <w:color w:val="222222"/>
          <w:highlight w:val="white"/>
        </w:rPr>
        <w:t>mission-related</w:t>
      </w:r>
      <w:proofErr w:type="gramEnd"/>
      <w:r>
        <w:rPr>
          <w:color w:val="222222"/>
          <w:highlight w:val="white"/>
        </w:rPr>
        <w:t>.  Typically, such training is routine or mandatory and covers general knowledge and actions all agencies expect of employees, such as training on information security, anti-harassment, ethics, EEO compliance, drug-free workplace, records management, and travel card use.  In other words, training on administrative activities.  It does not include specialized training for firearms, health and safety, national defense, political appointees, or mission-specific training, which may document a</w:t>
      </w:r>
      <w:r w:rsidR="00812E53">
        <w:rPr>
          <w:color w:val="222222"/>
          <w:highlight w:val="white"/>
        </w:rPr>
        <w:t>n agency’</w:t>
      </w:r>
      <w:r>
        <w:rPr>
          <w:color w:val="222222"/>
          <w:highlight w:val="white"/>
        </w:rPr>
        <w:t>s program objectives or illustrate program operations.  This schedule includes documentation of employee training provided from any source (internally or externally via private vendors or other agencies) and applies to all groups of Federal workers, civilian, military, and contractors.</w:t>
      </w:r>
    </w:p>
    <w:p w14:paraId="6534643E" w14:textId="11DC8DB7" w:rsidR="00D00103" w:rsidRDefault="00D00103" w:rsidP="004E3908">
      <w:pPr>
        <w:spacing w:after="0" w:line="240" w:lineRule="auto"/>
        <w:rPr>
          <w:color w:val="222222"/>
        </w:rPr>
      </w:pPr>
    </w:p>
    <w:p w14:paraId="55356971" w14:textId="7DC1B24F" w:rsidR="00D00103" w:rsidRPr="00D00103" w:rsidRDefault="00D00103" w:rsidP="004E3908">
      <w:pPr>
        <w:spacing w:after="0" w:line="240" w:lineRule="auto"/>
      </w:pPr>
      <w:r w:rsidRPr="00A45140">
        <w:t>Agencies must offer any records created prior to January 1, 1921, to the National Archives and Records Administration (NARA) before applying disposition instructions in this schedule.</w:t>
      </w:r>
    </w:p>
    <w:p w14:paraId="4EAF8A06" w14:textId="77777777" w:rsidR="004E3908" w:rsidRPr="00194C4C" w:rsidRDefault="004E3908" w:rsidP="004E3908">
      <w:pPr>
        <w:spacing w:after="0" w:line="240" w:lineRule="auto"/>
        <w:rPr>
          <w:sz w:val="18"/>
          <w:szCs w:val="18"/>
        </w:rPr>
      </w:pPr>
    </w:p>
    <w:tbl>
      <w:tblPr>
        <w:tblStyle w:val="a"/>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798"/>
        <w:gridCol w:w="2910"/>
        <w:gridCol w:w="2430"/>
        <w:gridCol w:w="1632"/>
      </w:tblGrid>
      <w:tr w:rsidR="005D0882" w14:paraId="35A4592F" w14:textId="77777777" w:rsidTr="00CE1A01">
        <w:tc>
          <w:tcPr>
            <w:tcW w:w="720" w:type="dxa"/>
            <w:shd w:val="clear" w:color="auto" w:fill="B6DDE8"/>
          </w:tcPr>
          <w:p w14:paraId="6A570EB6" w14:textId="77777777" w:rsidR="005D0882" w:rsidRDefault="00360214">
            <w:pPr>
              <w:spacing w:after="0" w:line="240" w:lineRule="auto"/>
            </w:pPr>
            <w:r>
              <w:rPr>
                <w:b/>
              </w:rPr>
              <w:t>Item</w:t>
            </w:r>
          </w:p>
        </w:tc>
        <w:tc>
          <w:tcPr>
            <w:tcW w:w="9708" w:type="dxa"/>
            <w:gridSpan w:val="2"/>
            <w:shd w:val="clear" w:color="auto" w:fill="B6DDE8"/>
          </w:tcPr>
          <w:p w14:paraId="28DC5667" w14:textId="77777777" w:rsidR="005D0882" w:rsidRDefault="00360214">
            <w:pPr>
              <w:spacing w:after="0" w:line="240" w:lineRule="auto"/>
            </w:pPr>
            <w:r>
              <w:rPr>
                <w:b/>
              </w:rPr>
              <w:t>Records Description</w:t>
            </w:r>
          </w:p>
        </w:tc>
        <w:tc>
          <w:tcPr>
            <w:tcW w:w="2430" w:type="dxa"/>
            <w:shd w:val="clear" w:color="auto" w:fill="B6DDE8"/>
          </w:tcPr>
          <w:p w14:paraId="27EB71AE" w14:textId="77777777" w:rsidR="005D0882" w:rsidRDefault="00360214">
            <w:pPr>
              <w:spacing w:after="0" w:line="240" w:lineRule="auto"/>
            </w:pPr>
            <w:r>
              <w:rPr>
                <w:b/>
              </w:rPr>
              <w:t>Disposition Instruction</w:t>
            </w:r>
          </w:p>
        </w:tc>
        <w:tc>
          <w:tcPr>
            <w:tcW w:w="1632" w:type="dxa"/>
            <w:shd w:val="clear" w:color="auto" w:fill="B6DDE8"/>
          </w:tcPr>
          <w:p w14:paraId="0E74E5E6" w14:textId="77777777" w:rsidR="005D0882" w:rsidRDefault="00360214">
            <w:pPr>
              <w:spacing w:after="0" w:line="240" w:lineRule="auto"/>
            </w:pPr>
            <w:r>
              <w:rPr>
                <w:b/>
              </w:rPr>
              <w:t>Disposition Authority</w:t>
            </w:r>
          </w:p>
        </w:tc>
      </w:tr>
      <w:tr w:rsidR="005D0882" w14:paraId="5CE43451" w14:textId="77777777" w:rsidTr="00CE1A01">
        <w:trPr>
          <w:trHeight w:val="220"/>
        </w:trPr>
        <w:tc>
          <w:tcPr>
            <w:tcW w:w="720" w:type="dxa"/>
          </w:tcPr>
          <w:p w14:paraId="7CFE357D" w14:textId="77777777" w:rsidR="005D0882" w:rsidRDefault="00360214">
            <w:pPr>
              <w:spacing w:after="0" w:line="240" w:lineRule="auto"/>
            </w:pPr>
            <w:r>
              <w:t>010</w:t>
            </w:r>
          </w:p>
        </w:tc>
        <w:tc>
          <w:tcPr>
            <w:tcW w:w="9708" w:type="dxa"/>
            <w:gridSpan w:val="2"/>
          </w:tcPr>
          <w:p w14:paraId="3F56FF4F" w14:textId="3A2D5F5E" w:rsidR="005D0882" w:rsidRDefault="00360214">
            <w:pPr>
              <w:spacing w:after="0" w:line="240" w:lineRule="auto"/>
              <w:rPr>
                <w:b/>
              </w:rPr>
            </w:pPr>
            <w:r>
              <w:rPr>
                <w:b/>
              </w:rPr>
              <w:t xml:space="preserve">Non-mission employee training </w:t>
            </w:r>
            <w:r w:rsidR="001C09C8" w:rsidRPr="00171042">
              <w:rPr>
                <w:b/>
                <w:color w:val="auto"/>
              </w:rPr>
              <w:t xml:space="preserve">program </w:t>
            </w:r>
            <w:r>
              <w:rPr>
                <w:b/>
              </w:rPr>
              <w:t>records.</w:t>
            </w:r>
          </w:p>
          <w:p w14:paraId="0848D060" w14:textId="77777777" w:rsidR="008979A3" w:rsidRPr="00171042" w:rsidRDefault="008979A3" w:rsidP="008979A3">
            <w:pPr>
              <w:spacing w:after="0" w:line="240" w:lineRule="auto"/>
              <w:ind w:left="327"/>
              <w:rPr>
                <w:color w:val="auto"/>
              </w:rPr>
            </w:pPr>
            <w:r w:rsidRPr="008979A3">
              <w:rPr>
                <w:b/>
              </w:rPr>
              <w:t xml:space="preserve">Exclusion: </w:t>
            </w:r>
            <w:r w:rsidRPr="008979A3">
              <w:rPr>
                <w:color w:val="auto"/>
              </w:rPr>
              <w:t>This item does not cover ethics-related training. Ethics training is scheduled by item 020.</w:t>
            </w:r>
          </w:p>
          <w:p w14:paraId="7EA383DA" w14:textId="50E89A18" w:rsidR="005D0882" w:rsidRDefault="00360214" w:rsidP="00194C4C">
            <w:pPr>
              <w:spacing w:after="0" w:line="240" w:lineRule="auto"/>
              <w:ind w:left="335"/>
            </w:pPr>
            <w:r>
              <w:t>Records about planning, assessing, managing, and evaluating an agency’s training program</w:t>
            </w:r>
            <w:r w:rsidR="001C09C8">
              <w:t>:</w:t>
            </w:r>
          </w:p>
          <w:p w14:paraId="62064F5C" w14:textId="77777777" w:rsidR="005D0882" w:rsidRDefault="00360214" w:rsidP="00194C4C">
            <w:pPr>
              <w:numPr>
                <w:ilvl w:val="0"/>
                <w:numId w:val="4"/>
              </w:numPr>
              <w:spacing w:after="0" w:line="240" w:lineRule="auto"/>
              <w:ind w:left="605" w:hanging="270"/>
              <w:contextualSpacing/>
            </w:pPr>
            <w:r>
              <w:t xml:space="preserve">plans, </w:t>
            </w:r>
            <w:proofErr w:type="gramStart"/>
            <w:r>
              <w:t>reports</w:t>
            </w:r>
            <w:proofErr w:type="gramEnd"/>
            <w:r>
              <w:t xml:space="preserve"> and program evaluations </w:t>
            </w:r>
          </w:p>
          <w:p w14:paraId="271F5E5B" w14:textId="77777777" w:rsidR="005D0882" w:rsidRDefault="00360214" w:rsidP="00194C4C">
            <w:pPr>
              <w:numPr>
                <w:ilvl w:val="0"/>
                <w:numId w:val="4"/>
              </w:numPr>
              <w:spacing w:after="0" w:line="240" w:lineRule="auto"/>
              <w:ind w:left="605" w:hanging="270"/>
            </w:pPr>
            <w:r>
              <w:t>organizational and occupational needs assessments</w:t>
            </w:r>
          </w:p>
          <w:p w14:paraId="79738C0B" w14:textId="77777777" w:rsidR="005D0882" w:rsidRDefault="00360214" w:rsidP="00194C4C">
            <w:pPr>
              <w:numPr>
                <w:ilvl w:val="0"/>
                <w:numId w:val="4"/>
              </w:numPr>
              <w:spacing w:after="0" w:line="240" w:lineRule="auto"/>
              <w:ind w:left="605" w:hanging="270"/>
            </w:pPr>
            <w:r>
              <w:t>employee skills assessments</w:t>
            </w:r>
          </w:p>
          <w:p w14:paraId="60D06AAB" w14:textId="77777777" w:rsidR="005D0882" w:rsidRDefault="00360214" w:rsidP="00194C4C">
            <w:pPr>
              <w:numPr>
                <w:ilvl w:val="0"/>
                <w:numId w:val="4"/>
              </w:numPr>
              <w:spacing w:after="0" w:line="240" w:lineRule="auto"/>
              <w:ind w:left="605" w:hanging="270"/>
            </w:pPr>
            <w:r>
              <w:t xml:space="preserve">employee training statistics </w:t>
            </w:r>
          </w:p>
          <w:p w14:paraId="369918E2" w14:textId="77777777" w:rsidR="005D0882" w:rsidRDefault="00360214" w:rsidP="00194C4C">
            <w:pPr>
              <w:numPr>
                <w:ilvl w:val="0"/>
                <w:numId w:val="4"/>
              </w:numPr>
              <w:spacing w:after="0" w:line="240" w:lineRule="auto"/>
              <w:ind w:left="605" w:hanging="270"/>
            </w:pPr>
            <w:r>
              <w:t xml:space="preserve">notices about training opportunities, schedules, or courses </w:t>
            </w:r>
          </w:p>
          <w:p w14:paraId="2A5C6C1F" w14:textId="77777777" w:rsidR="005D0882" w:rsidRDefault="00360214" w:rsidP="00194C4C">
            <w:pPr>
              <w:numPr>
                <w:ilvl w:val="0"/>
                <w:numId w:val="4"/>
              </w:numPr>
              <w:spacing w:after="0" w:line="240" w:lineRule="auto"/>
              <w:ind w:left="605" w:hanging="270"/>
            </w:pPr>
            <w:r>
              <w:t>mandatory training tracking and reporting files</w:t>
            </w:r>
          </w:p>
          <w:p w14:paraId="36ACA8D2" w14:textId="77777777" w:rsidR="005D0882" w:rsidRDefault="00360214" w:rsidP="00194C4C">
            <w:pPr>
              <w:numPr>
                <w:ilvl w:val="0"/>
                <w:numId w:val="4"/>
              </w:numPr>
              <w:spacing w:after="0" w:line="240" w:lineRule="auto"/>
              <w:ind w:left="605" w:hanging="270"/>
            </w:pPr>
            <w:r>
              <w:t>logistics and coordination documents</w:t>
            </w:r>
          </w:p>
          <w:p w14:paraId="18D545AD" w14:textId="77777777" w:rsidR="005D0882" w:rsidRDefault="00360214" w:rsidP="00194C4C">
            <w:pPr>
              <w:numPr>
                <w:ilvl w:val="0"/>
                <w:numId w:val="4"/>
              </w:numPr>
              <w:spacing w:after="0" w:line="240" w:lineRule="auto"/>
              <w:ind w:left="605" w:hanging="270"/>
            </w:pPr>
            <w:r>
              <w:t>Authorization, Agreement and Certification of Training (SF-182) and similar records</w:t>
            </w:r>
          </w:p>
          <w:p w14:paraId="48DEB8F7" w14:textId="77777777" w:rsidR="005D0882" w:rsidRDefault="00360214" w:rsidP="00194C4C">
            <w:pPr>
              <w:numPr>
                <w:ilvl w:val="0"/>
                <w:numId w:val="4"/>
              </w:numPr>
              <w:spacing w:after="0" w:line="240" w:lineRule="auto"/>
              <w:ind w:left="605" w:hanging="270"/>
            </w:pPr>
            <w:r>
              <w:t>registration forms, employee attendance records</w:t>
            </w:r>
          </w:p>
          <w:p w14:paraId="236AC1A3" w14:textId="77777777" w:rsidR="005D0882" w:rsidRDefault="00360214" w:rsidP="00194C4C">
            <w:pPr>
              <w:numPr>
                <w:ilvl w:val="0"/>
                <w:numId w:val="4"/>
              </w:numPr>
              <w:spacing w:after="0" w:line="240" w:lineRule="auto"/>
              <w:ind w:left="605" w:hanging="270"/>
            </w:pPr>
            <w:r>
              <w:t>syllabi, pre</w:t>
            </w:r>
            <w:r w:rsidR="00434615">
              <w:t xml:space="preserve">sentations, instructor guides, </w:t>
            </w:r>
            <w:r>
              <w:t>handbooks, and lesson plans</w:t>
            </w:r>
          </w:p>
          <w:p w14:paraId="51933EE4" w14:textId="77777777" w:rsidR="005D0882" w:rsidRDefault="00360214" w:rsidP="00194C4C">
            <w:pPr>
              <w:numPr>
                <w:ilvl w:val="0"/>
                <w:numId w:val="4"/>
              </w:numPr>
              <w:spacing w:after="0" w:line="240" w:lineRule="auto"/>
              <w:ind w:left="605" w:hanging="270"/>
            </w:pPr>
            <w:r>
              <w:t xml:space="preserve">reference and working files on course content </w:t>
            </w:r>
          </w:p>
          <w:p w14:paraId="18E07EE8" w14:textId="77777777" w:rsidR="005D0882" w:rsidRDefault="00360214" w:rsidP="00194C4C">
            <w:pPr>
              <w:numPr>
                <w:ilvl w:val="0"/>
                <w:numId w:val="4"/>
              </w:numPr>
              <w:spacing w:after="0" w:line="240" w:lineRule="auto"/>
              <w:ind w:left="605" w:hanging="270"/>
            </w:pPr>
            <w:r>
              <w:t xml:space="preserve">other course materials, such as presentations and videos </w:t>
            </w:r>
          </w:p>
          <w:p w14:paraId="77714818" w14:textId="77777777" w:rsidR="005D0882" w:rsidRDefault="00360214" w:rsidP="00194C4C">
            <w:pPr>
              <w:numPr>
                <w:ilvl w:val="0"/>
                <w:numId w:val="4"/>
              </w:numPr>
              <w:spacing w:after="0" w:line="240" w:lineRule="auto"/>
              <w:ind w:left="605" w:hanging="270"/>
            </w:pPr>
            <w:r>
              <w:t>student, class, or instructor evaluations</w:t>
            </w:r>
          </w:p>
          <w:p w14:paraId="4FE7BB4D" w14:textId="77777777" w:rsidR="005D0882" w:rsidRDefault="005D0882">
            <w:pPr>
              <w:spacing w:after="0" w:line="240" w:lineRule="auto"/>
            </w:pPr>
          </w:p>
          <w:p w14:paraId="00459400" w14:textId="4F01776D" w:rsidR="00302FE4" w:rsidRDefault="00360214" w:rsidP="00194C4C">
            <w:pPr>
              <w:spacing w:after="0" w:line="240" w:lineRule="auto"/>
              <w:ind w:left="327"/>
            </w:pPr>
            <w:r>
              <w:rPr>
                <w:b/>
              </w:rPr>
              <w:t>Note</w:t>
            </w:r>
            <w:r>
              <w:t>:  Financial records related to purchase of training or travel for training are scheduled under GRS 1.1, item 010.</w:t>
            </w:r>
          </w:p>
        </w:tc>
        <w:tc>
          <w:tcPr>
            <w:tcW w:w="2430" w:type="dxa"/>
          </w:tcPr>
          <w:p w14:paraId="2BD7DA47" w14:textId="36099951" w:rsidR="005D0882" w:rsidRDefault="00360214" w:rsidP="00194C4C">
            <w:pPr>
              <w:spacing w:after="0" w:line="240" w:lineRule="auto"/>
            </w:pPr>
            <w:r w:rsidRPr="00171042">
              <w:rPr>
                <w:b/>
              </w:rPr>
              <w:t>Temporary</w:t>
            </w:r>
            <w:r w:rsidRPr="00171042">
              <w:t>.  Destroy when 3 years old, or 3 years after superseded or obsolete</w:t>
            </w:r>
            <w:r w:rsidR="00434615" w:rsidRPr="00171042">
              <w:rPr>
                <w:color w:val="auto"/>
              </w:rPr>
              <w:t>, whichever is appropriate</w:t>
            </w:r>
            <w:r w:rsidR="00E11556">
              <w:rPr>
                <w:color w:val="auto"/>
              </w:rPr>
              <w:t>, but l</w:t>
            </w:r>
            <w:r w:rsidR="00434615" w:rsidRPr="00171042">
              <w:rPr>
                <w:color w:val="auto"/>
              </w:rPr>
              <w:t>onger retention is authorized if required for business use.</w:t>
            </w:r>
          </w:p>
        </w:tc>
        <w:tc>
          <w:tcPr>
            <w:tcW w:w="1632" w:type="dxa"/>
          </w:tcPr>
          <w:p w14:paraId="12DDAA8A" w14:textId="32999DC5" w:rsidR="00E65890" w:rsidRPr="00434615" w:rsidRDefault="00E65890">
            <w:pPr>
              <w:spacing w:after="0" w:line="240" w:lineRule="auto"/>
              <w:rPr>
                <w:color w:val="FF0000"/>
              </w:rPr>
            </w:pPr>
            <w:r>
              <w:rPr>
                <w:rStyle w:val="xforms-output-output"/>
              </w:rPr>
              <w:t>DAA-GRS-2016-0014-00</w:t>
            </w:r>
            <w:r w:rsidR="00CE1A01">
              <w:rPr>
                <w:rStyle w:val="xforms-output-output"/>
              </w:rPr>
              <w:t>0</w:t>
            </w:r>
            <w:r>
              <w:rPr>
                <w:rStyle w:val="xforms-output-output"/>
              </w:rPr>
              <w:t>1</w:t>
            </w:r>
          </w:p>
        </w:tc>
      </w:tr>
      <w:tr w:rsidR="005D0882" w14:paraId="5659B726" w14:textId="77777777" w:rsidTr="00CE1A01">
        <w:trPr>
          <w:trHeight w:val="220"/>
        </w:trPr>
        <w:tc>
          <w:tcPr>
            <w:tcW w:w="720" w:type="dxa"/>
          </w:tcPr>
          <w:p w14:paraId="39B7EC81" w14:textId="77777777" w:rsidR="005D0882" w:rsidRDefault="00360214">
            <w:pPr>
              <w:spacing w:after="0" w:line="240" w:lineRule="auto"/>
            </w:pPr>
            <w:r>
              <w:t>020</w:t>
            </w:r>
          </w:p>
        </w:tc>
        <w:tc>
          <w:tcPr>
            <w:tcW w:w="9708" w:type="dxa"/>
            <w:gridSpan w:val="2"/>
          </w:tcPr>
          <w:p w14:paraId="5FF8EBF9" w14:textId="77777777" w:rsidR="005D0882" w:rsidRDefault="00360214" w:rsidP="00194C4C">
            <w:pPr>
              <w:spacing w:after="0" w:line="240" w:lineRule="auto"/>
              <w:contextualSpacing/>
            </w:pPr>
            <w:r>
              <w:rPr>
                <w:b/>
              </w:rPr>
              <w:t>Ethics training records.</w:t>
            </w:r>
          </w:p>
          <w:p w14:paraId="6B81AADD" w14:textId="08ADBA65" w:rsidR="005D0882" w:rsidRDefault="00360214" w:rsidP="00194C4C">
            <w:pPr>
              <w:spacing w:after="0" w:line="240" w:lineRule="auto"/>
              <w:ind w:left="335"/>
              <w:contextualSpacing/>
            </w:pPr>
            <w:r>
              <w:t xml:space="preserve">Records include but are not limited to: </w:t>
            </w:r>
          </w:p>
          <w:p w14:paraId="6884C057" w14:textId="77777777" w:rsidR="005D0882" w:rsidRDefault="00360214" w:rsidP="00194C4C">
            <w:pPr>
              <w:numPr>
                <w:ilvl w:val="0"/>
                <w:numId w:val="5"/>
              </w:numPr>
              <w:spacing w:after="0" w:line="240" w:lineRule="auto"/>
              <w:ind w:left="605" w:hanging="270"/>
              <w:contextualSpacing/>
            </w:pPr>
            <w:r>
              <w:lastRenderedPageBreak/>
              <w:t>administration of new employee ethics orientations. annual, and other types of ethics training</w:t>
            </w:r>
          </w:p>
          <w:p w14:paraId="47D3C4B6" w14:textId="77777777" w:rsidR="005D0882" w:rsidRDefault="00360214" w:rsidP="00194C4C">
            <w:pPr>
              <w:numPr>
                <w:ilvl w:val="0"/>
                <w:numId w:val="5"/>
              </w:numPr>
              <w:spacing w:after="0" w:line="240" w:lineRule="auto"/>
              <w:ind w:left="605" w:hanging="270"/>
              <w:contextualSpacing/>
            </w:pPr>
            <w:r>
              <w:t>agency’s annual written plans</w:t>
            </w:r>
          </w:p>
          <w:p w14:paraId="222E64AB" w14:textId="77777777" w:rsidR="005D0882" w:rsidRDefault="00360214" w:rsidP="00194C4C">
            <w:pPr>
              <w:numPr>
                <w:ilvl w:val="0"/>
                <w:numId w:val="5"/>
              </w:numPr>
              <w:spacing w:after="0" w:line="240" w:lineRule="auto"/>
              <w:ind w:left="605" w:hanging="270"/>
              <w:contextualSpacing/>
            </w:pPr>
            <w:r>
              <w:t>notices about training requirements and course offerings</w:t>
            </w:r>
          </w:p>
          <w:p w14:paraId="68D8B2D5" w14:textId="77777777" w:rsidR="005D0882" w:rsidRDefault="00360214" w:rsidP="00194C4C">
            <w:pPr>
              <w:numPr>
                <w:ilvl w:val="0"/>
                <w:numId w:val="5"/>
              </w:numPr>
              <w:spacing w:after="0" w:line="240" w:lineRule="auto"/>
              <w:ind w:left="605" w:hanging="270"/>
              <w:contextualSpacing/>
            </w:pPr>
            <w:r>
              <w:t xml:space="preserve">rosters of employees required to </w:t>
            </w:r>
            <w:proofErr w:type="gramStart"/>
            <w:r>
              <w:t>attend</w:t>
            </w:r>
            <w:proofErr w:type="gramEnd"/>
            <w:r>
              <w:t xml:space="preserve"> and verification of training completed</w:t>
            </w:r>
          </w:p>
          <w:p w14:paraId="3D54E952" w14:textId="5BDA9572" w:rsidR="005D0882" w:rsidRDefault="00E11556" w:rsidP="00194C4C">
            <w:pPr>
              <w:numPr>
                <w:ilvl w:val="0"/>
                <w:numId w:val="5"/>
              </w:numPr>
              <w:spacing w:after="0" w:line="240" w:lineRule="auto"/>
              <w:ind w:left="605" w:hanging="270"/>
              <w:contextualSpacing/>
            </w:pPr>
            <w:r>
              <w:t>instructor</w:t>
            </w:r>
            <w:r w:rsidR="00360214">
              <w:t xml:space="preserve"> guides, handbooks, </w:t>
            </w:r>
            <w:proofErr w:type="gramStart"/>
            <w:r w:rsidR="00360214">
              <w:t>handouts</w:t>
            </w:r>
            <w:proofErr w:type="gramEnd"/>
            <w:r w:rsidR="00360214">
              <w:t xml:space="preserve"> and other materials</w:t>
            </w:r>
          </w:p>
        </w:tc>
        <w:tc>
          <w:tcPr>
            <w:tcW w:w="2430" w:type="dxa"/>
          </w:tcPr>
          <w:p w14:paraId="5E846A83" w14:textId="6044F521" w:rsidR="005D0882" w:rsidRDefault="00360214">
            <w:pPr>
              <w:spacing w:after="0" w:line="240" w:lineRule="auto"/>
            </w:pPr>
            <w:r>
              <w:rPr>
                <w:b/>
              </w:rPr>
              <w:lastRenderedPageBreak/>
              <w:t>Temporary</w:t>
            </w:r>
            <w:r w:rsidR="00FC7A3D">
              <w:t xml:space="preserve">.  </w:t>
            </w:r>
            <w:r w:rsidR="00342569" w:rsidRPr="001179BE">
              <w:t xml:space="preserve">Destroy when 6 years old or </w:t>
            </w:r>
            <w:r w:rsidR="00342569" w:rsidRPr="001179BE">
              <w:lastRenderedPageBreak/>
              <w:t>when superseded, whichever is later, but longer retention is authorized if required for business use.</w:t>
            </w:r>
          </w:p>
        </w:tc>
        <w:tc>
          <w:tcPr>
            <w:tcW w:w="1632" w:type="dxa"/>
          </w:tcPr>
          <w:p w14:paraId="18F6FD22" w14:textId="097D15BB" w:rsidR="005D0882" w:rsidRPr="00F64F7A" w:rsidRDefault="00E65890">
            <w:pPr>
              <w:spacing w:after="0" w:line="240" w:lineRule="auto"/>
              <w:rPr>
                <w:color w:val="FF0000"/>
              </w:rPr>
            </w:pPr>
            <w:r>
              <w:lastRenderedPageBreak/>
              <w:t>DAA-GRS-2016-0014</w:t>
            </w:r>
            <w:r w:rsidR="00F64F7A">
              <w:rPr>
                <w:color w:val="FF0000"/>
              </w:rPr>
              <w:t>-</w:t>
            </w:r>
            <w:r w:rsidR="00F64F7A" w:rsidRPr="00171042">
              <w:rPr>
                <w:color w:val="auto"/>
              </w:rPr>
              <w:t>0002</w:t>
            </w:r>
          </w:p>
        </w:tc>
      </w:tr>
      <w:tr w:rsidR="005D0882" w14:paraId="68728D42" w14:textId="77777777" w:rsidTr="00CE1A01">
        <w:trPr>
          <w:trHeight w:val="220"/>
        </w:trPr>
        <w:tc>
          <w:tcPr>
            <w:tcW w:w="720" w:type="dxa"/>
          </w:tcPr>
          <w:p w14:paraId="4AD416AE" w14:textId="77777777" w:rsidR="005D0882" w:rsidRDefault="00360214">
            <w:pPr>
              <w:spacing w:after="0" w:line="240" w:lineRule="auto"/>
              <w:jc w:val="center"/>
            </w:pPr>
            <w:r>
              <w:t>030</w:t>
            </w:r>
          </w:p>
        </w:tc>
        <w:tc>
          <w:tcPr>
            <w:tcW w:w="9708" w:type="dxa"/>
            <w:gridSpan w:val="2"/>
          </w:tcPr>
          <w:p w14:paraId="4576DDF0" w14:textId="77777777" w:rsidR="005D0882" w:rsidRDefault="00360214">
            <w:pPr>
              <w:spacing w:after="0" w:line="240" w:lineRule="auto"/>
            </w:pPr>
            <w:r>
              <w:rPr>
                <w:b/>
              </w:rPr>
              <w:t xml:space="preserve">Individual employee training records.  </w:t>
            </w:r>
          </w:p>
          <w:p w14:paraId="7C2D1A06" w14:textId="77777777" w:rsidR="005D0882" w:rsidRDefault="00360214">
            <w:pPr>
              <w:spacing w:after="0" w:line="240" w:lineRule="auto"/>
              <w:ind w:left="327"/>
            </w:pPr>
            <w:r>
              <w:t>Records documenting training required by all or most Federal agencies, such as information system security and anti-harassment training, and training to develop job skills.  Records may include:</w:t>
            </w:r>
          </w:p>
          <w:p w14:paraId="694C5036" w14:textId="3503F50D" w:rsidR="005D0882" w:rsidRDefault="00360214" w:rsidP="00194C4C">
            <w:pPr>
              <w:numPr>
                <w:ilvl w:val="0"/>
                <w:numId w:val="6"/>
              </w:numPr>
              <w:spacing w:after="0" w:line="240" w:lineRule="auto"/>
              <w:ind w:left="695" w:hanging="270"/>
            </w:pPr>
            <w:r>
              <w:t>completion certificates or verification documents for mandatory tr</w:t>
            </w:r>
            <w:r w:rsidR="00F64F7A">
              <w:t xml:space="preserve">aining required of all Federal </w:t>
            </w:r>
            <w:r>
              <w:t>employees or specific groups of employees (e.g., supervisors, contractors)</w:t>
            </w:r>
          </w:p>
          <w:p w14:paraId="2FAE2785" w14:textId="77777777" w:rsidR="005D0882" w:rsidRDefault="00360214" w:rsidP="00194C4C">
            <w:pPr>
              <w:numPr>
                <w:ilvl w:val="0"/>
                <w:numId w:val="6"/>
              </w:numPr>
              <w:spacing w:after="0" w:line="240" w:lineRule="auto"/>
              <w:ind w:left="695" w:hanging="270"/>
            </w:pPr>
            <w:r>
              <w:t>Individual Development Plans (IDPs)</w:t>
            </w:r>
          </w:p>
          <w:p w14:paraId="472EF57A" w14:textId="77777777" w:rsidR="005D0882" w:rsidRDefault="00360214" w:rsidP="00194C4C">
            <w:pPr>
              <w:numPr>
                <w:ilvl w:val="0"/>
                <w:numId w:val="6"/>
              </w:numPr>
              <w:spacing w:after="0" w:line="240" w:lineRule="auto"/>
              <w:ind w:left="695" w:hanging="270"/>
            </w:pPr>
            <w:r>
              <w:t>mentoring or coaching agreements</w:t>
            </w:r>
          </w:p>
          <w:p w14:paraId="6F8C3331" w14:textId="77777777" w:rsidR="005D0882" w:rsidRDefault="005D0882">
            <w:pPr>
              <w:spacing w:after="0" w:line="240" w:lineRule="auto"/>
              <w:ind w:firstLine="30"/>
            </w:pPr>
          </w:p>
          <w:p w14:paraId="7094D1E3" w14:textId="77777777" w:rsidR="005D0882" w:rsidRDefault="00360214">
            <w:pPr>
              <w:spacing w:after="0" w:line="240" w:lineRule="auto"/>
              <w:ind w:left="327"/>
            </w:pPr>
            <w:r>
              <w:rPr>
                <w:b/>
              </w:rPr>
              <w:t xml:space="preserve">Exclusion:   </w:t>
            </w:r>
            <w:r>
              <w:t xml:space="preserve">Academic transcripts, professional licenses, civil service exams, or documentation of mission-related training are not covered by this item.  </w:t>
            </w:r>
          </w:p>
          <w:p w14:paraId="6FF96B01" w14:textId="77777777" w:rsidR="00BD7936" w:rsidRDefault="00BD7936" w:rsidP="00302FE4">
            <w:pPr>
              <w:spacing w:after="0" w:line="240" w:lineRule="auto"/>
            </w:pPr>
          </w:p>
        </w:tc>
        <w:tc>
          <w:tcPr>
            <w:tcW w:w="2430" w:type="dxa"/>
          </w:tcPr>
          <w:p w14:paraId="176D3EBF" w14:textId="2767F6A3" w:rsidR="005D0882" w:rsidRDefault="00360214" w:rsidP="00194C4C">
            <w:pPr>
              <w:spacing w:after="0" w:line="240" w:lineRule="auto"/>
            </w:pPr>
            <w:r>
              <w:rPr>
                <w:b/>
              </w:rPr>
              <w:t xml:space="preserve">Temporary.    </w:t>
            </w:r>
            <w:r>
              <w:t>Destroy when superseded, 3 years old, or 1 year after separation, whichever comes first, but longer retention is authorized if required for business use.</w:t>
            </w:r>
          </w:p>
        </w:tc>
        <w:tc>
          <w:tcPr>
            <w:tcW w:w="1632" w:type="dxa"/>
          </w:tcPr>
          <w:p w14:paraId="550CD5CA" w14:textId="7DD1A042" w:rsidR="005D0882" w:rsidRPr="00F64F7A" w:rsidRDefault="00E65890">
            <w:pPr>
              <w:spacing w:after="0" w:line="240" w:lineRule="auto"/>
              <w:rPr>
                <w:color w:val="FF0000"/>
              </w:rPr>
            </w:pPr>
            <w:r>
              <w:t>DAA-GRS-2016-0014</w:t>
            </w:r>
            <w:r w:rsidR="00F64F7A">
              <w:rPr>
                <w:color w:val="FF0000"/>
              </w:rPr>
              <w:t>-</w:t>
            </w:r>
            <w:r w:rsidR="00F64F7A" w:rsidRPr="00171042">
              <w:rPr>
                <w:color w:val="auto"/>
              </w:rPr>
              <w:t>0003</w:t>
            </w:r>
          </w:p>
        </w:tc>
      </w:tr>
      <w:tr w:rsidR="005D0882" w14:paraId="3B61E6C3" w14:textId="77777777" w:rsidTr="00CE1A01">
        <w:trPr>
          <w:trHeight w:val="220"/>
        </w:trPr>
        <w:tc>
          <w:tcPr>
            <w:tcW w:w="720" w:type="dxa"/>
          </w:tcPr>
          <w:p w14:paraId="0DA205E1" w14:textId="77777777" w:rsidR="005D0882" w:rsidRDefault="00360214">
            <w:pPr>
              <w:spacing w:after="0" w:line="240" w:lineRule="auto"/>
              <w:jc w:val="center"/>
            </w:pPr>
            <w:r>
              <w:t>040</w:t>
            </w:r>
          </w:p>
        </w:tc>
        <w:tc>
          <w:tcPr>
            <w:tcW w:w="6798" w:type="dxa"/>
            <w:vMerge w:val="restart"/>
          </w:tcPr>
          <w:p w14:paraId="1BC8479B" w14:textId="77777777" w:rsidR="005D0882" w:rsidRDefault="00360214">
            <w:pPr>
              <w:spacing w:after="0" w:line="240" w:lineRule="auto"/>
            </w:pPr>
            <w:r>
              <w:rPr>
                <w:b/>
              </w:rPr>
              <w:t>Senior Executive Service Candidate Development Program (SESCDP).</w:t>
            </w:r>
          </w:p>
          <w:p w14:paraId="7AC5FF91" w14:textId="51E73B5D" w:rsidR="005D0882" w:rsidRDefault="00360214" w:rsidP="00E11556">
            <w:pPr>
              <w:spacing w:after="0" w:line="240" w:lineRule="auto"/>
              <w:ind w:left="412"/>
            </w:pPr>
            <w:r>
              <w:t>SESCDP is an OPM-approved train</w:t>
            </w:r>
            <w:r w:rsidR="00D315FD">
              <w:t>ing program designed to develop e</w:t>
            </w:r>
            <w:r>
              <w:t xml:space="preserve">mployees with strong executive potential to qualify them for and authorize their initial career appointment in the </w:t>
            </w:r>
            <w:r w:rsidR="00171435" w:rsidRPr="00171435">
              <w:rPr>
                <w:color w:val="auto"/>
              </w:rPr>
              <w:t>Senior Executive Service.</w:t>
            </w:r>
          </w:p>
        </w:tc>
        <w:tc>
          <w:tcPr>
            <w:tcW w:w="2910" w:type="dxa"/>
          </w:tcPr>
          <w:p w14:paraId="18EA58A3" w14:textId="77777777" w:rsidR="005D0882" w:rsidRDefault="00360214">
            <w:pPr>
              <w:spacing w:after="0" w:line="240" w:lineRule="auto"/>
            </w:pPr>
            <w:r>
              <w:rPr>
                <w:b/>
              </w:rPr>
              <w:t xml:space="preserve">Program records.  </w:t>
            </w:r>
          </w:p>
          <w:p w14:paraId="335CCC98" w14:textId="77777777" w:rsidR="005D0882" w:rsidRDefault="00360214" w:rsidP="00B152C5">
            <w:pPr>
              <w:spacing w:after="0" w:line="240" w:lineRule="auto"/>
              <w:ind w:left="197"/>
            </w:pPr>
            <w:r>
              <w:t xml:space="preserve">Records documenting program scope, policies, planning, budget, and curriculum planning. </w:t>
            </w:r>
          </w:p>
          <w:p w14:paraId="71571B89" w14:textId="77777777" w:rsidR="00BD7936" w:rsidRDefault="00BD7936" w:rsidP="00302FE4">
            <w:pPr>
              <w:spacing w:after="0" w:line="240" w:lineRule="auto"/>
            </w:pPr>
          </w:p>
        </w:tc>
        <w:tc>
          <w:tcPr>
            <w:tcW w:w="2430" w:type="dxa"/>
          </w:tcPr>
          <w:p w14:paraId="35C84B0F" w14:textId="77777777" w:rsidR="005D0882" w:rsidRDefault="00360214">
            <w:pPr>
              <w:spacing w:after="0" w:line="240" w:lineRule="auto"/>
            </w:pPr>
            <w:r>
              <w:rPr>
                <w:b/>
              </w:rPr>
              <w:t>Temporary.</w:t>
            </w:r>
            <w:r>
              <w:t xml:space="preserve">   Destroy when no longer needed for business use.</w:t>
            </w:r>
          </w:p>
        </w:tc>
        <w:tc>
          <w:tcPr>
            <w:tcW w:w="1632" w:type="dxa"/>
          </w:tcPr>
          <w:p w14:paraId="5FF454B1" w14:textId="43AB7933" w:rsidR="005D0882" w:rsidRDefault="00E65890">
            <w:pPr>
              <w:spacing w:after="0" w:line="240" w:lineRule="auto"/>
            </w:pPr>
            <w:r>
              <w:t>DAA-GRS-2016-0014</w:t>
            </w:r>
            <w:r w:rsidR="00171042">
              <w:t>-0004</w:t>
            </w:r>
          </w:p>
        </w:tc>
      </w:tr>
      <w:tr w:rsidR="005D0882" w14:paraId="0783A4AC" w14:textId="77777777" w:rsidTr="00CE1A01">
        <w:trPr>
          <w:trHeight w:val="2140"/>
        </w:trPr>
        <w:tc>
          <w:tcPr>
            <w:tcW w:w="720" w:type="dxa"/>
          </w:tcPr>
          <w:p w14:paraId="35DEA639" w14:textId="5972955D" w:rsidR="005D0882" w:rsidRDefault="00360214">
            <w:pPr>
              <w:jc w:val="center"/>
            </w:pPr>
            <w:r>
              <w:t>041</w:t>
            </w:r>
          </w:p>
        </w:tc>
        <w:tc>
          <w:tcPr>
            <w:tcW w:w="6798" w:type="dxa"/>
            <w:vMerge/>
          </w:tcPr>
          <w:p w14:paraId="399BBB50" w14:textId="77777777" w:rsidR="005D0882" w:rsidRDefault="005D0882">
            <w:pPr>
              <w:spacing w:after="0" w:line="240" w:lineRule="auto"/>
            </w:pPr>
          </w:p>
        </w:tc>
        <w:tc>
          <w:tcPr>
            <w:tcW w:w="2910" w:type="dxa"/>
          </w:tcPr>
          <w:p w14:paraId="266DC767" w14:textId="77777777" w:rsidR="005D0882" w:rsidRDefault="00360214">
            <w:pPr>
              <w:tabs>
                <w:tab w:val="left" w:pos="1080"/>
              </w:tabs>
              <w:spacing w:after="0" w:line="240" w:lineRule="auto"/>
            </w:pPr>
            <w:r>
              <w:rPr>
                <w:b/>
              </w:rPr>
              <w:t>Case records on SESCDP participants.</w:t>
            </w:r>
            <w:r>
              <w:t xml:space="preserve">  </w:t>
            </w:r>
          </w:p>
          <w:p w14:paraId="5C877E00" w14:textId="1340BA8F" w:rsidR="00BD7936" w:rsidRDefault="00360214" w:rsidP="00302FE4">
            <w:pPr>
              <w:tabs>
                <w:tab w:val="left" w:pos="1080"/>
              </w:tabs>
              <w:spacing w:after="0" w:line="240" w:lineRule="auto"/>
              <w:ind w:left="197"/>
            </w:pPr>
            <w:r>
              <w:t xml:space="preserve">Records documenting training, developmental assignments, mentor agreements and evaluations, </w:t>
            </w:r>
            <w:r w:rsidR="007F12EB">
              <w:t xml:space="preserve">and </w:t>
            </w:r>
            <w:r>
              <w:t>SES Development Plans.</w:t>
            </w:r>
          </w:p>
        </w:tc>
        <w:tc>
          <w:tcPr>
            <w:tcW w:w="2430" w:type="dxa"/>
          </w:tcPr>
          <w:p w14:paraId="54F9C00F" w14:textId="77777777" w:rsidR="005D0882" w:rsidRDefault="00360214">
            <w:pPr>
              <w:spacing w:line="240" w:lineRule="auto"/>
            </w:pPr>
            <w:r>
              <w:rPr>
                <w:b/>
              </w:rPr>
              <w:t>Temporary.</w:t>
            </w:r>
            <w:r>
              <w:t xml:space="preserve">  Destroy upon certification by OPM’s Qualifications Review Board (QRB) or 1 year after separation from SESCDP, but longer retention is authorized if required for business use.</w:t>
            </w:r>
          </w:p>
        </w:tc>
        <w:tc>
          <w:tcPr>
            <w:tcW w:w="1632" w:type="dxa"/>
          </w:tcPr>
          <w:p w14:paraId="0C49D52C" w14:textId="7F9ED324" w:rsidR="005D0882" w:rsidRDefault="00E65890">
            <w:r>
              <w:t>DAA-GRS-2016-0014</w:t>
            </w:r>
            <w:r w:rsidR="00171042">
              <w:t>-0005</w:t>
            </w:r>
          </w:p>
        </w:tc>
      </w:tr>
    </w:tbl>
    <w:p w14:paraId="70BD59A0" w14:textId="6D74BA92" w:rsidR="005D0882" w:rsidRPr="00194C4C" w:rsidRDefault="005D0882" w:rsidP="00194C4C"/>
    <w:sectPr w:rsidR="005D0882" w:rsidRPr="00194C4C" w:rsidSect="002C39B9">
      <w:headerReference w:type="default" r:id="rId7"/>
      <w:footerReference w:type="default" r:id="rId8"/>
      <w:headerReference w:type="first" r:id="rId9"/>
      <w:pgSz w:w="15840" w:h="12240" w:orient="landscape"/>
      <w:pgMar w:top="720" w:right="720" w:bottom="720" w:left="720" w:header="720" w:footer="720" w:gutter="0"/>
      <w:pgNumType w:start="4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588F" w14:textId="77777777" w:rsidR="00A65FDC" w:rsidRDefault="00A65FDC">
      <w:pPr>
        <w:spacing w:after="0" w:line="240" w:lineRule="auto"/>
      </w:pPr>
      <w:r>
        <w:separator/>
      </w:r>
    </w:p>
  </w:endnote>
  <w:endnote w:type="continuationSeparator" w:id="0">
    <w:p w14:paraId="04108D63" w14:textId="77777777" w:rsidR="00A65FDC" w:rsidRDefault="00A6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9D04" w14:textId="3EC7F325" w:rsidR="005D0882" w:rsidRDefault="005D0882" w:rsidP="004E3908">
    <w:pPr>
      <w:tabs>
        <w:tab w:val="center" w:pos="4680"/>
        <w:tab w:val="right" w:pos="936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6FD0" w14:textId="77777777" w:rsidR="00A65FDC" w:rsidRDefault="00A65FDC">
      <w:pPr>
        <w:spacing w:after="0" w:line="240" w:lineRule="auto"/>
      </w:pPr>
      <w:r>
        <w:separator/>
      </w:r>
    </w:p>
  </w:footnote>
  <w:footnote w:type="continuationSeparator" w:id="0">
    <w:p w14:paraId="695A721B" w14:textId="77777777" w:rsidR="00A65FDC" w:rsidRDefault="00A65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E78F" w14:textId="67EA0FFD" w:rsidR="00D94403" w:rsidRPr="00A31178" w:rsidRDefault="00AB2131" w:rsidP="00D94403">
    <w:pPr>
      <w:pStyle w:val="Header"/>
      <w:tabs>
        <w:tab w:val="clear" w:pos="9360"/>
        <w:tab w:val="right" w:pos="14400"/>
      </w:tabs>
      <w:rPr>
        <w:b/>
        <w:bCs/>
        <w:sz w:val="20"/>
        <w:szCs w:val="20"/>
      </w:rPr>
    </w:pPr>
    <w:r>
      <w:rPr>
        <w:b/>
        <w:bCs/>
        <w:sz w:val="20"/>
        <w:szCs w:val="20"/>
      </w:rPr>
      <w:t xml:space="preserve">Last updated in </w:t>
    </w:r>
    <w:r w:rsidR="00D94403" w:rsidRPr="00A31178">
      <w:rPr>
        <w:b/>
        <w:bCs/>
        <w:sz w:val="20"/>
        <w:szCs w:val="20"/>
      </w:rPr>
      <w:t xml:space="preserve">Transmittal No. </w:t>
    </w:r>
    <w:r w:rsidR="00B0708A">
      <w:rPr>
        <w:b/>
        <w:bCs/>
        <w:sz w:val="20"/>
        <w:szCs w:val="20"/>
      </w:rPr>
      <w:t>31</w:t>
    </w:r>
    <w:r w:rsidR="00D94403" w:rsidRPr="00A31178">
      <w:rPr>
        <w:b/>
        <w:bCs/>
        <w:sz w:val="20"/>
        <w:szCs w:val="20"/>
      </w:rPr>
      <w:tab/>
    </w:r>
    <w:r w:rsidR="00D94403" w:rsidRPr="00A31178">
      <w:rPr>
        <w:b/>
        <w:bCs/>
        <w:sz w:val="20"/>
        <w:szCs w:val="20"/>
      </w:rPr>
      <w:tab/>
      <w:t>General Records Schedule</w:t>
    </w:r>
    <w:r w:rsidR="00D94403">
      <w:rPr>
        <w:b/>
        <w:bCs/>
        <w:sz w:val="20"/>
        <w:szCs w:val="20"/>
      </w:rPr>
      <w:t xml:space="preserve"> 2.6</w:t>
    </w:r>
  </w:p>
  <w:p w14:paraId="5CC939B9" w14:textId="6FC68541" w:rsidR="00916788" w:rsidRDefault="00916788" w:rsidP="00916788">
    <w:pPr>
      <w:pStyle w:val="Header"/>
      <w:rPr>
        <w:b/>
        <w:bCs/>
        <w:sz w:val="20"/>
        <w:szCs w:val="20"/>
      </w:rPr>
    </w:pPr>
    <w:r>
      <w:rPr>
        <w:b/>
        <w:bCs/>
        <w:sz w:val="20"/>
        <w:szCs w:val="20"/>
      </w:rPr>
      <w:t>April 2020</w:t>
    </w:r>
  </w:p>
  <w:p w14:paraId="57F040C9" w14:textId="77777777" w:rsidR="00D94403" w:rsidRPr="00194C4C" w:rsidRDefault="00D94403" w:rsidP="00D94403">
    <w:pPr>
      <w:pStyle w:val="Heade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3142" w14:textId="66BC944C" w:rsidR="00194C4C" w:rsidRPr="00A31178" w:rsidRDefault="00194C4C" w:rsidP="00194C4C">
    <w:pPr>
      <w:pStyle w:val="Header"/>
      <w:tabs>
        <w:tab w:val="clear" w:pos="9360"/>
        <w:tab w:val="right" w:pos="14400"/>
      </w:tabs>
      <w:rPr>
        <w:b/>
        <w:bCs/>
        <w:sz w:val="20"/>
        <w:szCs w:val="20"/>
      </w:rPr>
    </w:pPr>
    <w:r w:rsidRPr="00A31178">
      <w:rPr>
        <w:b/>
        <w:bCs/>
        <w:sz w:val="20"/>
        <w:szCs w:val="20"/>
      </w:rPr>
      <w:t>Transmittal No. 2</w:t>
    </w:r>
    <w:r>
      <w:rPr>
        <w:b/>
        <w:bCs/>
        <w:sz w:val="20"/>
        <w:szCs w:val="20"/>
      </w:rPr>
      <w:t>7</w:t>
    </w:r>
    <w:r w:rsidRPr="00A31178">
      <w:rPr>
        <w:b/>
        <w:bCs/>
        <w:sz w:val="20"/>
        <w:szCs w:val="20"/>
      </w:rPr>
      <w:tab/>
    </w:r>
    <w:r w:rsidRPr="00A31178">
      <w:rPr>
        <w:b/>
        <w:bCs/>
        <w:sz w:val="20"/>
        <w:szCs w:val="20"/>
      </w:rPr>
      <w:tab/>
      <w:t>General Records Schedule</w:t>
    </w:r>
    <w:r>
      <w:rPr>
        <w:b/>
        <w:bCs/>
        <w:sz w:val="20"/>
        <w:szCs w:val="20"/>
      </w:rPr>
      <w:t xml:space="preserve"> 2.6</w:t>
    </w:r>
  </w:p>
  <w:p w14:paraId="1A26D238" w14:textId="17EB8394" w:rsidR="00194C4C" w:rsidRPr="00194C4C" w:rsidRDefault="00194C4C">
    <w:pPr>
      <w:pStyle w:val="Header"/>
      <w:rPr>
        <w:b/>
        <w:bCs/>
        <w:sz w:val="20"/>
        <w:szCs w:val="20"/>
      </w:rPr>
    </w:pPr>
    <w:r>
      <w:rPr>
        <w:b/>
        <w:bCs/>
        <w:sz w:val="20"/>
        <w:szCs w:val="20"/>
      </w:rPr>
      <w:t>xxx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60C"/>
    <w:multiLevelType w:val="multilevel"/>
    <w:tmpl w:val="BFCC6F2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15:restartNumberingAfterBreak="0">
    <w:nsid w:val="123C3F48"/>
    <w:multiLevelType w:val="multilevel"/>
    <w:tmpl w:val="F10E2C46"/>
    <w:lvl w:ilvl="0">
      <w:start w:val="1"/>
      <w:numFmt w:val="bullet"/>
      <w:lvlText w:val="●"/>
      <w:lvlJc w:val="left"/>
      <w:pPr>
        <w:ind w:left="1132" w:firstLine="772"/>
      </w:pPr>
      <w:rPr>
        <w:rFonts w:ascii="Arial" w:eastAsia="Arial" w:hAnsi="Arial" w:cs="Arial"/>
      </w:rPr>
    </w:lvl>
    <w:lvl w:ilvl="1">
      <w:start w:val="1"/>
      <w:numFmt w:val="bullet"/>
      <w:lvlText w:val="o"/>
      <w:lvlJc w:val="left"/>
      <w:pPr>
        <w:ind w:left="1852" w:firstLine="1492"/>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292" w:firstLine="2932"/>
      </w:pPr>
      <w:rPr>
        <w:rFonts w:ascii="Arial" w:eastAsia="Arial" w:hAnsi="Arial" w:cs="Arial"/>
      </w:rPr>
    </w:lvl>
    <w:lvl w:ilvl="4">
      <w:start w:val="1"/>
      <w:numFmt w:val="bullet"/>
      <w:lvlText w:val="o"/>
      <w:lvlJc w:val="left"/>
      <w:pPr>
        <w:ind w:left="4012" w:firstLine="3652"/>
      </w:pPr>
      <w:rPr>
        <w:rFonts w:ascii="Arial" w:eastAsia="Arial" w:hAnsi="Arial" w:cs="Arial"/>
      </w:rPr>
    </w:lvl>
    <w:lvl w:ilvl="5">
      <w:start w:val="1"/>
      <w:numFmt w:val="bullet"/>
      <w:lvlText w:val="▪"/>
      <w:lvlJc w:val="left"/>
      <w:pPr>
        <w:ind w:left="4732" w:firstLine="4372"/>
      </w:pPr>
      <w:rPr>
        <w:rFonts w:ascii="Arial" w:eastAsia="Arial" w:hAnsi="Arial" w:cs="Arial"/>
      </w:rPr>
    </w:lvl>
    <w:lvl w:ilvl="6">
      <w:start w:val="1"/>
      <w:numFmt w:val="bullet"/>
      <w:lvlText w:val="●"/>
      <w:lvlJc w:val="left"/>
      <w:pPr>
        <w:ind w:left="5452" w:firstLine="5092"/>
      </w:pPr>
      <w:rPr>
        <w:rFonts w:ascii="Arial" w:eastAsia="Arial" w:hAnsi="Arial" w:cs="Arial"/>
      </w:rPr>
    </w:lvl>
    <w:lvl w:ilvl="7">
      <w:start w:val="1"/>
      <w:numFmt w:val="bullet"/>
      <w:lvlText w:val="o"/>
      <w:lvlJc w:val="left"/>
      <w:pPr>
        <w:ind w:left="6172" w:firstLine="5812"/>
      </w:pPr>
      <w:rPr>
        <w:rFonts w:ascii="Arial" w:eastAsia="Arial" w:hAnsi="Arial" w:cs="Arial"/>
      </w:rPr>
    </w:lvl>
    <w:lvl w:ilvl="8">
      <w:start w:val="1"/>
      <w:numFmt w:val="bullet"/>
      <w:lvlText w:val="▪"/>
      <w:lvlJc w:val="left"/>
      <w:pPr>
        <w:ind w:left="6892" w:firstLine="6532"/>
      </w:pPr>
      <w:rPr>
        <w:rFonts w:ascii="Arial" w:eastAsia="Arial" w:hAnsi="Arial" w:cs="Arial"/>
      </w:rPr>
    </w:lvl>
  </w:abstractNum>
  <w:abstractNum w:abstractNumId="2" w15:restartNumberingAfterBreak="0">
    <w:nsid w:val="34B533AB"/>
    <w:multiLevelType w:val="multilevel"/>
    <w:tmpl w:val="B888B462"/>
    <w:lvl w:ilvl="0">
      <w:start w:val="1"/>
      <w:numFmt w:val="bullet"/>
      <w:lvlText w:val=""/>
      <w:lvlJc w:val="left"/>
      <w:pPr>
        <w:ind w:left="1132" w:firstLine="772"/>
      </w:pPr>
      <w:rPr>
        <w:rFonts w:ascii="Symbol" w:hAnsi="Symbol" w:hint="default"/>
      </w:rPr>
    </w:lvl>
    <w:lvl w:ilvl="1">
      <w:start w:val="1"/>
      <w:numFmt w:val="bullet"/>
      <w:lvlText w:val="o"/>
      <w:lvlJc w:val="left"/>
      <w:pPr>
        <w:ind w:left="1852" w:firstLine="1492"/>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292" w:firstLine="2932"/>
      </w:pPr>
      <w:rPr>
        <w:rFonts w:ascii="Arial" w:eastAsia="Arial" w:hAnsi="Arial" w:cs="Arial"/>
      </w:rPr>
    </w:lvl>
    <w:lvl w:ilvl="4">
      <w:start w:val="1"/>
      <w:numFmt w:val="bullet"/>
      <w:lvlText w:val="o"/>
      <w:lvlJc w:val="left"/>
      <w:pPr>
        <w:ind w:left="4012" w:firstLine="3652"/>
      </w:pPr>
      <w:rPr>
        <w:rFonts w:ascii="Arial" w:eastAsia="Arial" w:hAnsi="Arial" w:cs="Arial"/>
      </w:rPr>
    </w:lvl>
    <w:lvl w:ilvl="5">
      <w:start w:val="1"/>
      <w:numFmt w:val="bullet"/>
      <w:lvlText w:val="▪"/>
      <w:lvlJc w:val="left"/>
      <w:pPr>
        <w:ind w:left="4732" w:firstLine="4372"/>
      </w:pPr>
      <w:rPr>
        <w:rFonts w:ascii="Arial" w:eastAsia="Arial" w:hAnsi="Arial" w:cs="Arial"/>
      </w:rPr>
    </w:lvl>
    <w:lvl w:ilvl="6">
      <w:start w:val="1"/>
      <w:numFmt w:val="bullet"/>
      <w:lvlText w:val="●"/>
      <w:lvlJc w:val="left"/>
      <w:pPr>
        <w:ind w:left="5452" w:firstLine="5092"/>
      </w:pPr>
      <w:rPr>
        <w:rFonts w:ascii="Arial" w:eastAsia="Arial" w:hAnsi="Arial" w:cs="Arial"/>
      </w:rPr>
    </w:lvl>
    <w:lvl w:ilvl="7">
      <w:start w:val="1"/>
      <w:numFmt w:val="bullet"/>
      <w:lvlText w:val="o"/>
      <w:lvlJc w:val="left"/>
      <w:pPr>
        <w:ind w:left="6172" w:firstLine="5812"/>
      </w:pPr>
      <w:rPr>
        <w:rFonts w:ascii="Arial" w:eastAsia="Arial" w:hAnsi="Arial" w:cs="Arial"/>
      </w:rPr>
    </w:lvl>
    <w:lvl w:ilvl="8">
      <w:start w:val="1"/>
      <w:numFmt w:val="bullet"/>
      <w:lvlText w:val="▪"/>
      <w:lvlJc w:val="left"/>
      <w:pPr>
        <w:ind w:left="6892" w:firstLine="6532"/>
      </w:pPr>
      <w:rPr>
        <w:rFonts w:ascii="Arial" w:eastAsia="Arial" w:hAnsi="Arial" w:cs="Arial"/>
      </w:rPr>
    </w:lvl>
  </w:abstractNum>
  <w:abstractNum w:abstractNumId="3" w15:restartNumberingAfterBreak="0">
    <w:nsid w:val="36EF3973"/>
    <w:multiLevelType w:val="multilevel"/>
    <w:tmpl w:val="48A69D6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AE15B7C"/>
    <w:multiLevelType w:val="multilevel"/>
    <w:tmpl w:val="B79A10C0"/>
    <w:lvl w:ilvl="0">
      <w:start w:val="1"/>
      <w:numFmt w:val="bullet"/>
      <w:lvlText w:val=""/>
      <w:lvlJc w:val="left"/>
      <w:pPr>
        <w:ind w:left="720" w:firstLine="1800"/>
      </w:pPr>
      <w:rPr>
        <w:rFonts w:ascii="Symbol" w:hAnsi="Symbol" w:hint="default"/>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6AE93F41"/>
    <w:multiLevelType w:val="multilevel"/>
    <w:tmpl w:val="C4D015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82"/>
    <w:rsid w:val="00040115"/>
    <w:rsid w:val="00085E35"/>
    <w:rsid w:val="00113A44"/>
    <w:rsid w:val="001179BE"/>
    <w:rsid w:val="00137B6D"/>
    <w:rsid w:val="00171042"/>
    <w:rsid w:val="00171435"/>
    <w:rsid w:val="00172204"/>
    <w:rsid w:val="0019445B"/>
    <w:rsid w:val="00194C4C"/>
    <w:rsid w:val="001C09C8"/>
    <w:rsid w:val="001C1A66"/>
    <w:rsid w:val="002658CA"/>
    <w:rsid w:val="002C0021"/>
    <w:rsid w:val="002C39B9"/>
    <w:rsid w:val="00302FE4"/>
    <w:rsid w:val="00304FA0"/>
    <w:rsid w:val="00342569"/>
    <w:rsid w:val="00360214"/>
    <w:rsid w:val="003F48DD"/>
    <w:rsid w:val="00434615"/>
    <w:rsid w:val="004A19C3"/>
    <w:rsid w:val="004D3BAA"/>
    <w:rsid w:val="004E3908"/>
    <w:rsid w:val="005D0882"/>
    <w:rsid w:val="00647D65"/>
    <w:rsid w:val="006D4E3E"/>
    <w:rsid w:val="007F12EB"/>
    <w:rsid w:val="00812E53"/>
    <w:rsid w:val="00880B59"/>
    <w:rsid w:val="008979A3"/>
    <w:rsid w:val="008A632A"/>
    <w:rsid w:val="00916788"/>
    <w:rsid w:val="00A07EDF"/>
    <w:rsid w:val="00A567E4"/>
    <w:rsid w:val="00A65FDC"/>
    <w:rsid w:val="00AB2131"/>
    <w:rsid w:val="00B05F37"/>
    <w:rsid w:val="00B0708A"/>
    <w:rsid w:val="00B152C5"/>
    <w:rsid w:val="00BD7936"/>
    <w:rsid w:val="00BE451B"/>
    <w:rsid w:val="00C227EA"/>
    <w:rsid w:val="00CE1A01"/>
    <w:rsid w:val="00D00103"/>
    <w:rsid w:val="00D205EF"/>
    <w:rsid w:val="00D315FD"/>
    <w:rsid w:val="00D86420"/>
    <w:rsid w:val="00D94403"/>
    <w:rsid w:val="00E11556"/>
    <w:rsid w:val="00E65890"/>
    <w:rsid w:val="00E66C39"/>
    <w:rsid w:val="00E70320"/>
    <w:rsid w:val="00F06C9A"/>
    <w:rsid w:val="00F64F7A"/>
    <w:rsid w:val="00F64FAE"/>
    <w:rsid w:val="00FC7A3D"/>
    <w:rsid w:val="00FD7DF6"/>
    <w:rsid w:val="00FE11C2"/>
    <w:rsid w:val="00FE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9293"/>
  <w15:docId w15:val="{6FF8C3D1-C67E-465A-9A6A-94ED9492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4615"/>
    <w:rPr>
      <w:b/>
      <w:bCs/>
    </w:rPr>
  </w:style>
  <w:style w:type="character" w:customStyle="1" w:styleId="CommentSubjectChar">
    <w:name w:val="Comment Subject Char"/>
    <w:basedOn w:val="CommentTextChar"/>
    <w:link w:val="CommentSubject"/>
    <w:uiPriority w:val="99"/>
    <w:semiHidden/>
    <w:rsid w:val="00434615"/>
    <w:rPr>
      <w:b/>
      <w:bCs/>
      <w:sz w:val="20"/>
      <w:szCs w:val="20"/>
    </w:rPr>
  </w:style>
  <w:style w:type="paragraph" w:styleId="Header">
    <w:name w:val="header"/>
    <w:basedOn w:val="Normal"/>
    <w:link w:val="HeaderChar"/>
    <w:uiPriority w:val="99"/>
    <w:unhideWhenUsed/>
    <w:rsid w:val="00F0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9A"/>
  </w:style>
  <w:style w:type="paragraph" w:styleId="Footer">
    <w:name w:val="footer"/>
    <w:basedOn w:val="Normal"/>
    <w:link w:val="FooterChar"/>
    <w:uiPriority w:val="99"/>
    <w:unhideWhenUsed/>
    <w:rsid w:val="00F0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9A"/>
  </w:style>
  <w:style w:type="character" w:customStyle="1" w:styleId="xforms-output-output">
    <w:name w:val="xforms-output-output"/>
    <w:basedOn w:val="DefaultParagraphFont"/>
    <w:rsid w:val="00E6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Katherene Kim</dc:creator>
  <cp:lastModifiedBy>Katherene Kim</cp:lastModifiedBy>
  <cp:revision>2</cp:revision>
  <dcterms:created xsi:type="dcterms:W3CDTF">2022-02-28T14:50:00Z</dcterms:created>
  <dcterms:modified xsi:type="dcterms:W3CDTF">2022-02-28T14:50:00Z</dcterms:modified>
</cp:coreProperties>
</file>