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2F1" w14:textId="77777777" w:rsidR="00AB1595" w:rsidRDefault="00052FFB">
      <w:pPr>
        <w:spacing w:after="0" w:line="240" w:lineRule="auto"/>
        <w:jc w:val="center"/>
        <w:rPr>
          <w:b/>
          <w:sz w:val="36"/>
          <w:szCs w:val="36"/>
        </w:rPr>
      </w:pPr>
      <w:r>
        <w:rPr>
          <w:b/>
          <w:sz w:val="36"/>
          <w:szCs w:val="36"/>
        </w:rPr>
        <w:t>GENERAL RECORDS SCHEDULE 5.7:  Administrative Management and Oversight Records</w:t>
      </w:r>
    </w:p>
    <w:p w14:paraId="1C904236" w14:textId="77777777" w:rsidR="00AB1595" w:rsidRDefault="00AB1595">
      <w:pPr>
        <w:spacing w:after="0" w:line="240" w:lineRule="auto"/>
      </w:pPr>
    </w:p>
    <w:p w14:paraId="6548D25A" w14:textId="2D2343ED" w:rsidR="00AB1595" w:rsidRDefault="00B61C59">
      <w:r w:rsidRPr="00B61C59">
        <w:t>This schedule covers records about administrative management activities in Federal agencies. It includes activities such as internal controls oversight and reporting, policies and procedures, and results management and reporting, but only when they relate to administrative functions.  It also includes some records related to the Federal Register</w:t>
      </w:r>
      <w:r w:rsidR="00052FFB">
        <w:t xml:space="preserve">. </w:t>
      </w:r>
    </w:p>
    <w:p w14:paraId="35BAC480" w14:textId="77777777" w:rsidR="00AB1595" w:rsidRDefault="00052FFB">
      <w:pPr>
        <w:spacing w:after="0" w:line="240" w:lineRule="auto"/>
        <w:rPr>
          <w:b/>
        </w:rPr>
      </w:pPr>
      <w:r>
        <w:rPr>
          <w:b/>
        </w:rPr>
        <w:t>Exclusions and Conditions</w:t>
      </w:r>
    </w:p>
    <w:p w14:paraId="59113B5D" w14:textId="77777777" w:rsidR="00AB1595" w:rsidRDefault="00052FFB">
      <w:pPr>
        <w:numPr>
          <w:ilvl w:val="0"/>
          <w:numId w:val="3"/>
        </w:numPr>
        <w:spacing w:after="0"/>
      </w:pPr>
      <w:r>
        <w:t>Excluded from this schedule are records about management and oversight of non-administrative activities, including agency mission-related performance management records, strategic plans, risk management records, audit records, organizational charts and reorganization studies, functional statements, delegations of authority, and agency histories.</w:t>
      </w:r>
    </w:p>
    <w:p w14:paraId="051F48F6" w14:textId="77777777" w:rsidR="00AB1595" w:rsidRDefault="00052FFB">
      <w:pPr>
        <w:numPr>
          <w:ilvl w:val="0"/>
          <w:numId w:val="3"/>
        </w:numPr>
      </w:pPr>
      <w:r>
        <w:t>Agencies must offer any records created prior to January 1, 1921, to the National Archives and Records Administration (NARA) before applying disposition instructions in this schedule.</w:t>
      </w:r>
    </w:p>
    <w:p w14:paraId="1C3EC79B" w14:textId="46964BC0" w:rsidR="00AB1595" w:rsidRDefault="00C12645">
      <w:pPr>
        <w:spacing w:after="0" w:line="240" w:lineRule="auto"/>
      </w:pPr>
      <w:r>
        <w:rPr>
          <w:b/>
        </w:rPr>
        <w:t>Administrative Internal Controls</w:t>
      </w:r>
    </w:p>
    <w:tbl>
      <w:tblPr>
        <w:tblStyle w:val="a"/>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260"/>
        <w:gridCol w:w="2070"/>
        <w:gridCol w:w="1350"/>
      </w:tblGrid>
      <w:tr w:rsidR="00AB1595" w14:paraId="44AD318B" w14:textId="77777777" w:rsidTr="00D77575">
        <w:trPr>
          <w:tblHeader/>
        </w:trPr>
        <w:tc>
          <w:tcPr>
            <w:tcW w:w="720" w:type="dxa"/>
            <w:shd w:val="clear" w:color="auto" w:fill="B6DDE8"/>
          </w:tcPr>
          <w:p w14:paraId="2F7C4EAA" w14:textId="77777777" w:rsidR="00AB1595" w:rsidRDefault="00052FFB">
            <w:pPr>
              <w:spacing w:after="0" w:line="240" w:lineRule="auto"/>
              <w:jc w:val="center"/>
              <w:rPr>
                <w:b/>
              </w:rPr>
            </w:pPr>
            <w:r>
              <w:rPr>
                <w:b/>
              </w:rPr>
              <w:t>Item</w:t>
            </w:r>
          </w:p>
        </w:tc>
        <w:tc>
          <w:tcPr>
            <w:tcW w:w="10260" w:type="dxa"/>
            <w:shd w:val="clear" w:color="auto" w:fill="B6DDE8"/>
          </w:tcPr>
          <w:p w14:paraId="4EE2A2ED" w14:textId="77777777" w:rsidR="00AB1595" w:rsidRDefault="00052FFB">
            <w:pPr>
              <w:spacing w:after="0" w:line="240" w:lineRule="auto"/>
              <w:rPr>
                <w:b/>
              </w:rPr>
            </w:pPr>
            <w:r>
              <w:rPr>
                <w:b/>
              </w:rPr>
              <w:t>Records Description</w:t>
            </w:r>
          </w:p>
        </w:tc>
        <w:tc>
          <w:tcPr>
            <w:tcW w:w="2070" w:type="dxa"/>
            <w:shd w:val="clear" w:color="auto" w:fill="B6DDE8"/>
          </w:tcPr>
          <w:p w14:paraId="67914FC3" w14:textId="77777777" w:rsidR="00AB1595" w:rsidRDefault="00052FFB">
            <w:pPr>
              <w:spacing w:after="0" w:line="240" w:lineRule="auto"/>
              <w:rPr>
                <w:b/>
              </w:rPr>
            </w:pPr>
            <w:r>
              <w:rPr>
                <w:b/>
              </w:rPr>
              <w:t xml:space="preserve">Disposition Instruction </w:t>
            </w:r>
          </w:p>
        </w:tc>
        <w:tc>
          <w:tcPr>
            <w:tcW w:w="1350" w:type="dxa"/>
            <w:shd w:val="clear" w:color="auto" w:fill="B6DDE8"/>
          </w:tcPr>
          <w:p w14:paraId="4CADDABC" w14:textId="77777777" w:rsidR="00AB1595" w:rsidRDefault="00052FFB">
            <w:pPr>
              <w:spacing w:after="0" w:line="240" w:lineRule="auto"/>
              <w:rPr>
                <w:b/>
              </w:rPr>
            </w:pPr>
            <w:r>
              <w:rPr>
                <w:b/>
              </w:rPr>
              <w:t>Disposition Authority</w:t>
            </w:r>
          </w:p>
        </w:tc>
      </w:tr>
      <w:tr w:rsidR="00AB1595" w14:paraId="651B998F" w14:textId="77777777" w:rsidTr="00D77575">
        <w:tc>
          <w:tcPr>
            <w:tcW w:w="720" w:type="dxa"/>
          </w:tcPr>
          <w:p w14:paraId="48081A71" w14:textId="77777777" w:rsidR="00AB1595" w:rsidRDefault="00052FFB">
            <w:pPr>
              <w:spacing w:after="0" w:line="240" w:lineRule="auto"/>
              <w:jc w:val="center"/>
            </w:pPr>
            <w:r>
              <w:t>010</w:t>
            </w:r>
          </w:p>
        </w:tc>
        <w:tc>
          <w:tcPr>
            <w:tcW w:w="10260" w:type="dxa"/>
          </w:tcPr>
          <w:p w14:paraId="79EB2FCC" w14:textId="77777777" w:rsidR="00AB1595" w:rsidRDefault="00052FFB">
            <w:pPr>
              <w:spacing w:after="0" w:line="240" w:lineRule="auto"/>
              <w:rPr>
                <w:b/>
                <w:color w:val="000000"/>
              </w:rPr>
            </w:pPr>
            <w:r>
              <w:rPr>
                <w:b/>
              </w:rPr>
              <w:t>Administrative internal control management records</w:t>
            </w:r>
            <w:r>
              <w:rPr>
                <w:b/>
                <w:color w:val="000000"/>
              </w:rPr>
              <w:t xml:space="preserve">. </w:t>
            </w:r>
          </w:p>
          <w:p w14:paraId="4E95A1A4" w14:textId="77777777" w:rsidR="00AB1595" w:rsidRDefault="00052FFB">
            <w:pPr>
              <w:spacing w:after="0" w:line="240" w:lineRule="auto"/>
              <w:ind w:left="331"/>
              <w:rPr>
                <w:color w:val="222222"/>
              </w:rPr>
            </w:pPr>
            <w:r>
              <w:t xml:space="preserve">Records related to internal evaluations of accounting and administrative controls, </w:t>
            </w:r>
            <w:proofErr w:type="gramStart"/>
            <w:r>
              <w:t>mandated</w:t>
            </w:r>
            <w:proofErr w:type="gramEnd"/>
            <w:r>
              <w:t xml:space="preserve"> or governed by: OMB Circulars A-123, A-130, and A-76; Government Accountability Office’s (GAO) Standards for Internal Control in the Federal Government (the “Green Book”); and similar requirements or directives.  Includes: </w:t>
            </w:r>
          </w:p>
          <w:p w14:paraId="5D66E638" w14:textId="77777777" w:rsidR="00AB1595" w:rsidRDefault="00052FFB">
            <w:pPr>
              <w:numPr>
                <w:ilvl w:val="0"/>
                <w:numId w:val="4"/>
              </w:numPr>
              <w:shd w:val="clear" w:color="auto" w:fill="FFFFFF"/>
              <w:spacing w:after="0" w:line="240" w:lineRule="auto"/>
              <w:rPr>
                <w:color w:val="222222"/>
              </w:rPr>
            </w:pPr>
            <w:r>
              <w:rPr>
                <w:color w:val="222222"/>
              </w:rPr>
              <w:t>copies of internal and external directives outlining management control policy</w:t>
            </w:r>
          </w:p>
          <w:p w14:paraId="4F9AE3C9" w14:textId="77777777" w:rsidR="00AB1595" w:rsidRDefault="00052FFB">
            <w:pPr>
              <w:numPr>
                <w:ilvl w:val="0"/>
                <w:numId w:val="4"/>
              </w:numPr>
              <w:shd w:val="clear" w:color="auto" w:fill="FFFFFF"/>
              <w:spacing w:after="0" w:line="240" w:lineRule="auto"/>
              <w:rPr>
                <w:color w:val="222222"/>
              </w:rPr>
            </w:pPr>
            <w:r>
              <w:rPr>
                <w:color w:val="222222"/>
              </w:rPr>
              <w:t>management control plans and records of the planning process</w:t>
            </w:r>
          </w:p>
          <w:p w14:paraId="04217003" w14:textId="77777777" w:rsidR="00AB1595" w:rsidRDefault="00052FFB">
            <w:pPr>
              <w:numPr>
                <w:ilvl w:val="0"/>
                <w:numId w:val="4"/>
              </w:numPr>
              <w:shd w:val="clear" w:color="auto" w:fill="FFFFFF"/>
              <w:spacing w:after="0" w:line="240" w:lineRule="auto"/>
              <w:rPr>
                <w:color w:val="000000"/>
              </w:rPr>
            </w:pPr>
            <w:r>
              <w:rPr>
                <w:color w:val="000000"/>
              </w:rPr>
              <w:t>comprehensive plans documenting agency efforts to comply with OMB Circular A-123 and similar requirements</w:t>
            </w:r>
          </w:p>
          <w:p w14:paraId="11D2DC57" w14:textId="77777777" w:rsidR="00AB1595" w:rsidRDefault="00052FFB">
            <w:pPr>
              <w:numPr>
                <w:ilvl w:val="0"/>
                <w:numId w:val="4"/>
              </w:numPr>
              <w:shd w:val="clear" w:color="auto" w:fill="FFFFFF"/>
              <w:spacing w:after="0" w:line="240" w:lineRule="auto"/>
              <w:rPr>
                <w:color w:val="000000"/>
              </w:rPr>
            </w:pPr>
            <w:r>
              <w:t>reports and supporting materials used to document review of program areas for susceptibility to loss or unauthorized use of resources, errors in reports and information, and illegal and unethical actions</w:t>
            </w:r>
          </w:p>
          <w:p w14:paraId="615BA063" w14:textId="77777777" w:rsidR="00AB1595" w:rsidRDefault="00052FFB">
            <w:pPr>
              <w:numPr>
                <w:ilvl w:val="0"/>
                <w:numId w:val="4"/>
              </w:numPr>
              <w:shd w:val="clear" w:color="auto" w:fill="FFFFFF"/>
              <w:spacing w:after="0" w:line="240" w:lineRule="auto"/>
              <w:rPr>
                <w:color w:val="000000"/>
              </w:rPr>
            </w:pPr>
            <w:r>
              <w:rPr>
                <w:color w:val="000000"/>
              </w:rPr>
              <w:t>feeder reports and compliance statements from agency components contributing to consolidated reports the agency submits to the President/OMB or Congress (see Exclusion 2)</w:t>
            </w:r>
          </w:p>
          <w:p w14:paraId="1324EB4E" w14:textId="77777777" w:rsidR="00AB1595" w:rsidRDefault="00052FFB">
            <w:pPr>
              <w:numPr>
                <w:ilvl w:val="0"/>
                <w:numId w:val="4"/>
              </w:numPr>
              <w:shd w:val="clear" w:color="auto" w:fill="FFFFFF"/>
              <w:spacing w:after="0" w:line="240" w:lineRule="auto"/>
              <w:rPr>
                <w:b/>
              </w:rPr>
            </w:pPr>
            <w:r>
              <w:rPr>
                <w:color w:val="000000"/>
              </w:rPr>
              <w:t xml:space="preserve">records tracking assignments, tasks, and responsibilities </w:t>
            </w:r>
          </w:p>
          <w:p w14:paraId="0A63D40C" w14:textId="77777777" w:rsidR="00AB1595" w:rsidRDefault="00052FFB">
            <w:pPr>
              <w:numPr>
                <w:ilvl w:val="0"/>
                <w:numId w:val="4"/>
              </w:numPr>
              <w:shd w:val="clear" w:color="auto" w:fill="FFFFFF"/>
              <w:spacing w:after="0" w:line="240" w:lineRule="auto"/>
              <w:rPr>
                <w:b/>
              </w:rPr>
            </w:pPr>
            <w:r>
              <w:t>related</w:t>
            </w:r>
            <w:r>
              <w:rPr>
                <w:color w:val="000000"/>
              </w:rPr>
              <w:t xml:space="preserve"> correspondence</w:t>
            </w:r>
          </w:p>
          <w:p w14:paraId="32CA997E" w14:textId="77777777" w:rsidR="00AB1595" w:rsidRDefault="00AB1595">
            <w:pPr>
              <w:shd w:val="clear" w:color="auto" w:fill="FFFFFF"/>
              <w:spacing w:after="0" w:line="240" w:lineRule="auto"/>
              <w:ind w:left="331"/>
              <w:rPr>
                <w:b/>
              </w:rPr>
            </w:pPr>
          </w:p>
          <w:p w14:paraId="216F350B" w14:textId="77777777" w:rsidR="00AB1595" w:rsidRDefault="00052FFB">
            <w:pPr>
              <w:shd w:val="clear" w:color="auto" w:fill="FFFFFF"/>
              <w:spacing w:after="0" w:line="240" w:lineRule="auto"/>
              <w:ind w:left="331"/>
            </w:pPr>
            <w:r>
              <w:rPr>
                <w:b/>
              </w:rPr>
              <w:t xml:space="preserve">Exclusion 1:  </w:t>
            </w:r>
            <w:r>
              <w:t>Reports related to agency mission activities (a</w:t>
            </w:r>
            <w:r>
              <w:rPr>
                <w:color w:val="000000"/>
              </w:rPr>
              <w:t>gencies schedule these separately).</w:t>
            </w:r>
          </w:p>
          <w:p w14:paraId="4252984D" w14:textId="77777777" w:rsidR="00AB1595" w:rsidRDefault="00AB1595">
            <w:pPr>
              <w:shd w:val="clear" w:color="auto" w:fill="FFFFFF"/>
              <w:spacing w:after="0" w:line="240" w:lineRule="auto"/>
              <w:ind w:left="331"/>
              <w:rPr>
                <w:b/>
              </w:rPr>
            </w:pPr>
          </w:p>
          <w:p w14:paraId="75A98960" w14:textId="77777777" w:rsidR="00AB1595" w:rsidRDefault="00052FFB">
            <w:pPr>
              <w:shd w:val="clear" w:color="auto" w:fill="FFFFFF"/>
              <w:spacing w:after="0" w:line="240" w:lineRule="auto"/>
              <w:ind w:left="331"/>
              <w:rPr>
                <w:color w:val="000000"/>
              </w:rPr>
            </w:pPr>
            <w:r>
              <w:rPr>
                <w:b/>
              </w:rPr>
              <w:lastRenderedPageBreak/>
              <w:t xml:space="preserve">Exclusion 2:  </w:t>
            </w:r>
            <w:r>
              <w:t>C</w:t>
            </w:r>
            <w:r>
              <w:rPr>
                <w:color w:val="000000"/>
              </w:rPr>
              <w:t>onsolidated final agency reports submitted to the President/OMB or Congress (agencies schedule these separately).</w:t>
            </w:r>
          </w:p>
          <w:p w14:paraId="04082C0D" w14:textId="77777777" w:rsidR="00AB1595" w:rsidRDefault="00AB1595">
            <w:pPr>
              <w:shd w:val="clear" w:color="auto" w:fill="FFFFFF"/>
              <w:spacing w:after="0" w:line="240" w:lineRule="auto"/>
              <w:ind w:left="331"/>
              <w:rPr>
                <w:b/>
              </w:rPr>
            </w:pPr>
          </w:p>
          <w:p w14:paraId="488EB215" w14:textId="77777777" w:rsidR="00AB1595" w:rsidRDefault="00052FFB">
            <w:pPr>
              <w:pBdr>
                <w:top w:val="nil"/>
                <w:left w:val="nil"/>
                <w:bottom w:val="nil"/>
                <w:right w:val="nil"/>
                <w:between w:val="nil"/>
              </w:pBdr>
              <w:tabs>
                <w:tab w:val="left" w:pos="720"/>
                <w:tab w:val="left" w:pos="1080"/>
                <w:tab w:val="left" w:pos="1440"/>
              </w:tabs>
              <w:spacing w:after="0" w:line="240" w:lineRule="auto"/>
              <w:ind w:left="335"/>
              <w:rPr>
                <w:highlight w:val="white"/>
              </w:rPr>
            </w:pPr>
            <w:r>
              <w:rPr>
                <w:b/>
                <w:color w:val="000000"/>
              </w:rPr>
              <w:t>Exclusion 3:</w:t>
            </w:r>
            <w:r>
              <w:rPr>
                <w:color w:val="000000"/>
              </w:rPr>
              <w:t xml:space="preserve">  Reports that mandating agencies receive (these agencies must schedule them separately).</w:t>
            </w:r>
          </w:p>
          <w:p w14:paraId="2552B4C9" w14:textId="77777777" w:rsidR="00AB1595" w:rsidRDefault="00AB1595">
            <w:pPr>
              <w:pBdr>
                <w:top w:val="nil"/>
                <w:left w:val="nil"/>
                <w:bottom w:val="nil"/>
                <w:right w:val="nil"/>
                <w:between w:val="nil"/>
              </w:pBdr>
              <w:tabs>
                <w:tab w:val="left" w:pos="720"/>
                <w:tab w:val="left" w:pos="1080"/>
                <w:tab w:val="left" w:pos="1440"/>
              </w:tabs>
              <w:spacing w:after="0" w:line="240" w:lineRule="auto"/>
              <w:ind w:left="335"/>
              <w:rPr>
                <w:highlight w:val="white"/>
              </w:rPr>
            </w:pPr>
          </w:p>
        </w:tc>
        <w:tc>
          <w:tcPr>
            <w:tcW w:w="2070" w:type="dxa"/>
          </w:tcPr>
          <w:p w14:paraId="70EE3EBC" w14:textId="77777777" w:rsidR="00AB1595" w:rsidRDefault="00052FFB">
            <w:pPr>
              <w:spacing w:after="0" w:line="240" w:lineRule="auto"/>
              <w:rPr>
                <w:b/>
              </w:rPr>
            </w:pPr>
            <w:r>
              <w:rPr>
                <w:b/>
              </w:rPr>
              <w:lastRenderedPageBreak/>
              <w:t>Temporary</w:t>
            </w:r>
            <w:r>
              <w:t xml:space="preserve">.  </w:t>
            </w:r>
            <w:r>
              <w:rPr>
                <w:color w:val="000000"/>
              </w:rPr>
              <w:t>Destroy 1 year after submission or when superseded, as appropriate, but longer retention is authorized if required for business use.</w:t>
            </w:r>
          </w:p>
        </w:tc>
        <w:tc>
          <w:tcPr>
            <w:tcW w:w="1350" w:type="dxa"/>
          </w:tcPr>
          <w:p w14:paraId="7EE9A994" w14:textId="77777777" w:rsidR="00AB1595" w:rsidRDefault="00052FFB">
            <w:pPr>
              <w:spacing w:after="0" w:line="240" w:lineRule="auto"/>
            </w:pPr>
            <w:r>
              <w:t>DAA-GRS-2020-0001-0001</w:t>
            </w:r>
          </w:p>
        </w:tc>
      </w:tr>
      <w:tr w:rsidR="00AB1595" w14:paraId="3B6A7993" w14:textId="77777777" w:rsidTr="00D77575">
        <w:tc>
          <w:tcPr>
            <w:tcW w:w="720" w:type="dxa"/>
          </w:tcPr>
          <w:p w14:paraId="6EDEFA75" w14:textId="77777777" w:rsidR="00AB1595" w:rsidRDefault="00052FFB">
            <w:pPr>
              <w:spacing w:after="0" w:line="240" w:lineRule="auto"/>
              <w:jc w:val="center"/>
            </w:pPr>
            <w:r>
              <w:t>020</w:t>
            </w:r>
          </w:p>
        </w:tc>
        <w:tc>
          <w:tcPr>
            <w:tcW w:w="10260" w:type="dxa"/>
          </w:tcPr>
          <w:p w14:paraId="7B3B4FD7" w14:textId="77777777" w:rsidR="00AB1595" w:rsidRDefault="00052FFB">
            <w:pPr>
              <w:spacing w:after="0" w:line="240" w:lineRule="auto"/>
              <w:rPr>
                <w:b/>
                <w:color w:val="000000"/>
              </w:rPr>
            </w:pPr>
            <w:r>
              <w:rPr>
                <w:b/>
                <w:color w:val="000000"/>
              </w:rPr>
              <w:t>Internal control review, response, and mitigation management records.</w:t>
            </w:r>
          </w:p>
          <w:p w14:paraId="2D72D654" w14:textId="77777777" w:rsidR="00AB1595" w:rsidRDefault="00052FFB">
            <w:pPr>
              <w:spacing w:after="0" w:line="240" w:lineRule="auto"/>
              <w:ind w:left="331"/>
              <w:rPr>
                <w:color w:val="000000"/>
              </w:rPr>
            </w:pPr>
            <w:r>
              <w:rPr>
                <w:color w:val="000000"/>
              </w:rPr>
              <w:t>Copies of reports and audits identifying internal administrative program weaknesses, mitigation action plans, corrective actions, tracking records, correspondence, and other records held by the office responsible for coordinating internal control functions.</w:t>
            </w:r>
          </w:p>
          <w:p w14:paraId="29952BA9" w14:textId="77777777" w:rsidR="00AB1595" w:rsidRDefault="00AB1595">
            <w:pPr>
              <w:spacing w:after="0" w:line="240" w:lineRule="auto"/>
              <w:ind w:left="331"/>
              <w:rPr>
                <w:color w:val="000000"/>
              </w:rPr>
            </w:pPr>
          </w:p>
          <w:p w14:paraId="5AB8AF63" w14:textId="77777777" w:rsidR="00AB1595" w:rsidRDefault="00052FFB">
            <w:pPr>
              <w:pBdr>
                <w:top w:val="nil"/>
                <w:left w:val="nil"/>
                <w:bottom w:val="nil"/>
                <w:right w:val="nil"/>
                <w:between w:val="nil"/>
              </w:pBdr>
              <w:tabs>
                <w:tab w:val="left" w:pos="720"/>
                <w:tab w:val="left" w:pos="1080"/>
                <w:tab w:val="left" w:pos="1440"/>
              </w:tabs>
              <w:spacing w:after="0" w:line="240" w:lineRule="auto"/>
              <w:ind w:left="335"/>
              <w:rPr>
                <w:b/>
                <w:color w:val="000000"/>
              </w:rPr>
            </w:pPr>
            <w:r>
              <w:rPr>
                <w:b/>
                <w:color w:val="000000"/>
              </w:rPr>
              <w:t xml:space="preserve">Exclusion:  </w:t>
            </w:r>
            <w:r>
              <w:rPr>
                <w:color w:val="000000"/>
              </w:rPr>
              <w:t>Records held by offices contributing to internal control review, response, and mitigation—but not responsible for overseeing it (GRS 5.1, item 010 covers these).</w:t>
            </w:r>
          </w:p>
        </w:tc>
        <w:tc>
          <w:tcPr>
            <w:tcW w:w="2070" w:type="dxa"/>
          </w:tcPr>
          <w:p w14:paraId="7A2D3D42" w14:textId="77777777" w:rsidR="00AB1595" w:rsidRDefault="00052FFB">
            <w:pPr>
              <w:spacing w:after="0" w:line="240" w:lineRule="auto"/>
              <w:rPr>
                <w:b/>
              </w:rPr>
            </w:pPr>
            <w:r>
              <w:rPr>
                <w:b/>
              </w:rPr>
              <w:t>Temporary.</w:t>
            </w:r>
            <w:r>
              <w:t xml:space="preserve">  </w:t>
            </w:r>
            <w:r>
              <w:rPr>
                <w:color w:val="000000"/>
              </w:rPr>
              <w:t>Destroy 5 years after no further corrective action is needed, but longer retention is authorized if required for business use.</w:t>
            </w:r>
          </w:p>
        </w:tc>
        <w:tc>
          <w:tcPr>
            <w:tcW w:w="1350" w:type="dxa"/>
          </w:tcPr>
          <w:p w14:paraId="3493F414" w14:textId="77777777" w:rsidR="00AB1595" w:rsidRDefault="00052FFB">
            <w:pPr>
              <w:spacing w:after="0" w:line="240" w:lineRule="auto"/>
            </w:pPr>
            <w:r>
              <w:t>DAA-GRS-2017-0008-0002</w:t>
            </w:r>
          </w:p>
          <w:p w14:paraId="2B077AB5" w14:textId="77777777" w:rsidR="00AB1595" w:rsidRDefault="00AB1595">
            <w:pPr>
              <w:spacing w:after="0" w:line="240" w:lineRule="auto"/>
            </w:pPr>
          </w:p>
          <w:p w14:paraId="58FB4A9E" w14:textId="77777777" w:rsidR="00AB1595" w:rsidRDefault="00AB1595">
            <w:pPr>
              <w:spacing w:after="0" w:line="240" w:lineRule="auto"/>
            </w:pPr>
          </w:p>
        </w:tc>
      </w:tr>
      <w:tr w:rsidR="00731650" w14:paraId="232FEF5F" w14:textId="77777777" w:rsidTr="00731650">
        <w:tc>
          <w:tcPr>
            <w:tcW w:w="720" w:type="dxa"/>
            <w:shd w:val="clear" w:color="auto" w:fill="B6DDE8" w:themeFill="accent5" w:themeFillTint="66"/>
          </w:tcPr>
          <w:p w14:paraId="6E74F17D" w14:textId="7A65455C" w:rsidR="00731650" w:rsidRPr="00731650" w:rsidRDefault="00731650" w:rsidP="00731650">
            <w:pPr>
              <w:spacing w:after="0"/>
              <w:rPr>
                <w:b/>
              </w:rPr>
            </w:pPr>
            <w:bookmarkStart w:id="0" w:name="_Hlk136846228"/>
            <w:r w:rsidRPr="00731650">
              <w:rPr>
                <w:b/>
              </w:rPr>
              <w:t>Item</w:t>
            </w:r>
          </w:p>
        </w:tc>
        <w:tc>
          <w:tcPr>
            <w:tcW w:w="10260" w:type="dxa"/>
            <w:shd w:val="clear" w:color="auto" w:fill="B6DDE8" w:themeFill="accent5" w:themeFillTint="66"/>
          </w:tcPr>
          <w:p w14:paraId="17613BA7" w14:textId="0B5E6E14" w:rsidR="00731650" w:rsidRPr="00731650" w:rsidRDefault="00731650" w:rsidP="00731650">
            <w:pPr>
              <w:spacing w:after="0"/>
              <w:rPr>
                <w:b/>
              </w:rPr>
            </w:pPr>
            <w:r>
              <w:rPr>
                <w:b/>
              </w:rPr>
              <w:t>Administrative Policy, Standards, and Guidelines</w:t>
            </w:r>
          </w:p>
        </w:tc>
        <w:tc>
          <w:tcPr>
            <w:tcW w:w="2070" w:type="dxa"/>
            <w:shd w:val="clear" w:color="auto" w:fill="B6DDE8" w:themeFill="accent5" w:themeFillTint="66"/>
          </w:tcPr>
          <w:p w14:paraId="083A373C" w14:textId="0F62FAF9" w:rsidR="00731650" w:rsidRPr="00731650" w:rsidRDefault="00731650" w:rsidP="00731650">
            <w:pPr>
              <w:tabs>
                <w:tab w:val="left" w:pos="5743"/>
              </w:tabs>
              <w:spacing w:after="0"/>
              <w:rPr>
                <w:b/>
              </w:rPr>
            </w:pPr>
            <w:r w:rsidRPr="00731650">
              <w:rPr>
                <w:b/>
              </w:rPr>
              <w:t xml:space="preserve">Disposition </w:t>
            </w:r>
            <w:r w:rsidRPr="00731650">
              <w:rPr>
                <w:b/>
              </w:rPr>
              <w:br/>
              <w:t>Instruction</w:t>
            </w:r>
          </w:p>
        </w:tc>
        <w:tc>
          <w:tcPr>
            <w:tcW w:w="1350" w:type="dxa"/>
            <w:shd w:val="clear" w:color="auto" w:fill="B6DDE8" w:themeFill="accent5" w:themeFillTint="66"/>
          </w:tcPr>
          <w:p w14:paraId="3C65A9CD" w14:textId="57F68C72" w:rsidR="00731650" w:rsidRPr="00731650" w:rsidRDefault="00731650" w:rsidP="00731650">
            <w:pPr>
              <w:spacing w:after="0"/>
              <w:rPr>
                <w:b/>
              </w:rPr>
            </w:pPr>
            <w:r w:rsidRPr="00731650">
              <w:rPr>
                <w:b/>
              </w:rPr>
              <w:t>Disposition</w:t>
            </w:r>
            <w:r w:rsidRPr="00731650">
              <w:rPr>
                <w:b/>
              </w:rPr>
              <w:br/>
              <w:t>Authority</w:t>
            </w:r>
          </w:p>
        </w:tc>
      </w:tr>
      <w:bookmarkEnd w:id="0"/>
      <w:tr w:rsidR="00731650" w14:paraId="311081DA" w14:textId="77777777" w:rsidTr="00D77575">
        <w:tc>
          <w:tcPr>
            <w:tcW w:w="720" w:type="dxa"/>
          </w:tcPr>
          <w:p w14:paraId="09BC3E13" w14:textId="77777777" w:rsidR="00731650" w:rsidRDefault="00731650" w:rsidP="00731650">
            <w:pPr>
              <w:spacing w:after="0" w:line="240" w:lineRule="auto"/>
              <w:jc w:val="center"/>
            </w:pPr>
            <w:r>
              <w:t>030</w:t>
            </w:r>
          </w:p>
        </w:tc>
        <w:tc>
          <w:tcPr>
            <w:tcW w:w="10260" w:type="dxa"/>
          </w:tcPr>
          <w:p w14:paraId="15A60AD0" w14:textId="77777777" w:rsidR="00731650" w:rsidRDefault="00731650" w:rsidP="00731650">
            <w:pPr>
              <w:spacing w:after="0" w:line="240" w:lineRule="auto"/>
              <w:rPr>
                <w:b/>
                <w:color w:val="000000"/>
              </w:rPr>
            </w:pPr>
            <w:r>
              <w:rPr>
                <w:b/>
                <w:color w:val="000000"/>
              </w:rPr>
              <w:t xml:space="preserve">Administrative directives and notices. </w:t>
            </w:r>
          </w:p>
          <w:p w14:paraId="1DF991F9" w14:textId="77777777" w:rsidR="00731650" w:rsidRDefault="00731650" w:rsidP="00731650">
            <w:pPr>
              <w:spacing w:after="0" w:line="240" w:lineRule="auto"/>
              <w:ind w:left="331"/>
              <w:rPr>
                <w:color w:val="000000"/>
              </w:rPr>
            </w:pPr>
            <w:r>
              <w:rPr>
                <w:color w:val="000000"/>
              </w:rPr>
              <w:t>Policy documents on administrative functions such as payroll, procurement, facilities, equipment, and human capital.  Includes records documenting development.</w:t>
            </w:r>
          </w:p>
          <w:p w14:paraId="0A61D115" w14:textId="77777777" w:rsidR="00731650" w:rsidRDefault="00731650" w:rsidP="00731650">
            <w:pPr>
              <w:spacing w:after="0" w:line="240" w:lineRule="auto"/>
              <w:ind w:left="331"/>
              <w:rPr>
                <w:color w:val="000000"/>
              </w:rPr>
            </w:pPr>
          </w:p>
          <w:p w14:paraId="659EBB03" w14:textId="45BA67D0" w:rsidR="00731650" w:rsidRDefault="00731650" w:rsidP="00731650">
            <w:pPr>
              <w:pBdr>
                <w:top w:val="nil"/>
                <w:left w:val="nil"/>
                <w:bottom w:val="nil"/>
                <w:right w:val="nil"/>
                <w:between w:val="nil"/>
              </w:pBdr>
              <w:tabs>
                <w:tab w:val="left" w:pos="720"/>
                <w:tab w:val="left" w:pos="1080"/>
                <w:tab w:val="left" w:pos="1440"/>
              </w:tabs>
              <w:spacing w:after="0" w:line="240" w:lineRule="auto"/>
              <w:ind w:left="335"/>
              <w:rPr>
                <w:b/>
                <w:color w:val="000000"/>
              </w:rPr>
            </w:pPr>
            <w:r>
              <w:rPr>
                <w:b/>
                <w:color w:val="000000"/>
              </w:rPr>
              <w:t>Exclusion</w:t>
            </w:r>
            <w:r>
              <w:rPr>
                <w:color w:val="000000"/>
              </w:rPr>
              <w:t>: Documents related to mission activities (agencies schedule these separately).</w:t>
            </w:r>
            <w:r>
              <w:rPr>
                <w:color w:val="000000"/>
              </w:rPr>
              <w:br/>
            </w:r>
            <w:r>
              <w:rPr>
                <w:color w:val="000000"/>
              </w:rPr>
              <w:br/>
            </w:r>
          </w:p>
        </w:tc>
        <w:tc>
          <w:tcPr>
            <w:tcW w:w="2070" w:type="dxa"/>
          </w:tcPr>
          <w:p w14:paraId="15795EA0" w14:textId="77777777" w:rsidR="00731650" w:rsidRDefault="00731650" w:rsidP="00731650">
            <w:pPr>
              <w:tabs>
                <w:tab w:val="left" w:pos="5743"/>
              </w:tabs>
              <w:spacing w:after="0" w:line="240" w:lineRule="auto"/>
              <w:rPr>
                <w:b/>
              </w:rPr>
            </w:pPr>
            <w:r>
              <w:rPr>
                <w:b/>
              </w:rPr>
              <w:t xml:space="preserve">Temporary.  </w:t>
            </w:r>
            <w:r>
              <w:t>Destroy when superseded, obsolete, or no longer needed for business, whichever is later.</w:t>
            </w:r>
          </w:p>
        </w:tc>
        <w:tc>
          <w:tcPr>
            <w:tcW w:w="1350" w:type="dxa"/>
          </w:tcPr>
          <w:p w14:paraId="6C2FCF41" w14:textId="77777777" w:rsidR="00731650" w:rsidRDefault="00731650" w:rsidP="00731650">
            <w:pPr>
              <w:spacing w:after="0" w:line="240" w:lineRule="auto"/>
            </w:pPr>
            <w:r>
              <w:t>DAA-GRS-2017-0008-0003</w:t>
            </w:r>
          </w:p>
          <w:p w14:paraId="012ED41F" w14:textId="77777777" w:rsidR="00731650" w:rsidRDefault="00731650" w:rsidP="00731650">
            <w:pPr>
              <w:spacing w:after="0" w:line="240" w:lineRule="auto"/>
            </w:pPr>
          </w:p>
          <w:p w14:paraId="7C8C6520" w14:textId="77777777" w:rsidR="00731650" w:rsidRDefault="00731650" w:rsidP="00731650">
            <w:pPr>
              <w:spacing w:after="0" w:line="240" w:lineRule="auto"/>
            </w:pPr>
          </w:p>
        </w:tc>
      </w:tr>
      <w:tr w:rsidR="00731650" w14:paraId="1FF04FE8" w14:textId="77777777" w:rsidTr="000B0F1B">
        <w:tc>
          <w:tcPr>
            <w:tcW w:w="720" w:type="dxa"/>
            <w:shd w:val="clear" w:color="auto" w:fill="B6DDE8" w:themeFill="accent5" w:themeFillTint="66"/>
          </w:tcPr>
          <w:p w14:paraId="59280CB7" w14:textId="48DB805B" w:rsidR="00731650" w:rsidRDefault="00731650" w:rsidP="00731650">
            <w:pPr>
              <w:spacing w:after="0" w:line="240" w:lineRule="auto"/>
              <w:jc w:val="center"/>
            </w:pPr>
            <w:r w:rsidRPr="00731650">
              <w:rPr>
                <w:b/>
              </w:rPr>
              <w:t>Item</w:t>
            </w:r>
          </w:p>
        </w:tc>
        <w:tc>
          <w:tcPr>
            <w:tcW w:w="10260" w:type="dxa"/>
            <w:shd w:val="clear" w:color="auto" w:fill="B6DDE8" w:themeFill="accent5" w:themeFillTint="66"/>
          </w:tcPr>
          <w:p w14:paraId="707CB161" w14:textId="150AC72C" w:rsidR="00731650" w:rsidRDefault="000B0F1B" w:rsidP="00731650">
            <w:pPr>
              <w:shd w:val="clear" w:color="auto" w:fill="FFFFFF"/>
              <w:spacing w:after="0" w:line="240" w:lineRule="auto"/>
              <w:rPr>
                <w:b/>
              </w:rPr>
            </w:pPr>
            <w:r w:rsidRPr="000B0F1B">
              <w:rPr>
                <w:b/>
              </w:rPr>
              <w:t>Administrative Results Management and Reporting</w:t>
            </w:r>
          </w:p>
        </w:tc>
        <w:tc>
          <w:tcPr>
            <w:tcW w:w="2070" w:type="dxa"/>
            <w:shd w:val="clear" w:color="auto" w:fill="B6DDE8" w:themeFill="accent5" w:themeFillTint="66"/>
          </w:tcPr>
          <w:p w14:paraId="7AADBB77" w14:textId="241C3495" w:rsidR="00731650" w:rsidRDefault="00731650" w:rsidP="00731650">
            <w:pPr>
              <w:widowControl w:val="0"/>
              <w:spacing w:after="0" w:line="240" w:lineRule="auto"/>
              <w:rPr>
                <w:b/>
              </w:rPr>
            </w:pPr>
            <w:r w:rsidRPr="00731650">
              <w:rPr>
                <w:b/>
              </w:rPr>
              <w:t xml:space="preserve">Disposition </w:t>
            </w:r>
            <w:r w:rsidRPr="00731650">
              <w:rPr>
                <w:b/>
              </w:rPr>
              <w:br/>
              <w:t>Instruction</w:t>
            </w:r>
          </w:p>
        </w:tc>
        <w:tc>
          <w:tcPr>
            <w:tcW w:w="1350" w:type="dxa"/>
            <w:shd w:val="clear" w:color="auto" w:fill="B6DDE8" w:themeFill="accent5" w:themeFillTint="66"/>
          </w:tcPr>
          <w:p w14:paraId="75FDAD5A" w14:textId="6919FCE9" w:rsidR="00731650" w:rsidRDefault="00731650" w:rsidP="00731650">
            <w:pPr>
              <w:spacing w:after="0" w:line="240" w:lineRule="auto"/>
            </w:pPr>
            <w:r w:rsidRPr="00731650">
              <w:rPr>
                <w:b/>
              </w:rPr>
              <w:t>Disposition</w:t>
            </w:r>
            <w:r w:rsidRPr="00731650">
              <w:rPr>
                <w:b/>
              </w:rPr>
              <w:br/>
              <w:t>Authority</w:t>
            </w:r>
          </w:p>
        </w:tc>
      </w:tr>
      <w:tr w:rsidR="00731650" w14:paraId="2F9E1F20" w14:textId="77777777" w:rsidTr="00D77575">
        <w:tc>
          <w:tcPr>
            <w:tcW w:w="720" w:type="dxa"/>
          </w:tcPr>
          <w:p w14:paraId="3315FC7D" w14:textId="77777777" w:rsidR="00731650" w:rsidRDefault="00731650" w:rsidP="00731650">
            <w:pPr>
              <w:spacing w:after="0" w:line="240" w:lineRule="auto"/>
              <w:jc w:val="center"/>
            </w:pPr>
            <w:r>
              <w:t>040</w:t>
            </w:r>
          </w:p>
        </w:tc>
        <w:tc>
          <w:tcPr>
            <w:tcW w:w="10260" w:type="dxa"/>
          </w:tcPr>
          <w:p w14:paraId="6D8420B9" w14:textId="77777777" w:rsidR="00731650" w:rsidRDefault="00731650" w:rsidP="00731650">
            <w:pPr>
              <w:shd w:val="clear" w:color="auto" w:fill="FFFFFF"/>
              <w:spacing w:after="0" w:line="240" w:lineRule="auto"/>
              <w:rPr>
                <w:b/>
              </w:rPr>
            </w:pPr>
            <w:r>
              <w:rPr>
                <w:b/>
              </w:rPr>
              <w:t>Administrative management report requirements records.</w:t>
            </w:r>
          </w:p>
          <w:p w14:paraId="4D65FD71" w14:textId="77777777" w:rsidR="00731650" w:rsidRDefault="00731650" w:rsidP="00731650">
            <w:pPr>
              <w:pBdr>
                <w:top w:val="nil"/>
                <w:left w:val="nil"/>
                <w:bottom w:val="nil"/>
                <w:right w:val="nil"/>
                <w:between w:val="nil"/>
              </w:pBdr>
              <w:tabs>
                <w:tab w:val="left" w:pos="1901"/>
              </w:tabs>
              <w:spacing w:after="0" w:line="240" w:lineRule="auto"/>
              <w:ind w:left="335"/>
              <w:rPr>
                <w:color w:val="000000"/>
              </w:rPr>
            </w:pPr>
            <w:r>
              <w:rPr>
                <w:color w:val="000000"/>
              </w:rPr>
              <w:t xml:space="preserve">Processing and submission files on mandatory management reports an agency creates or proposes.  Includes: </w:t>
            </w:r>
          </w:p>
          <w:p w14:paraId="51004301" w14:textId="77777777" w:rsidR="00731650" w:rsidRPr="009C70F7" w:rsidRDefault="00731650" w:rsidP="00731650">
            <w:pPr>
              <w:pStyle w:val="ListParagraph"/>
              <w:numPr>
                <w:ilvl w:val="0"/>
                <w:numId w:val="5"/>
              </w:numPr>
              <w:pBdr>
                <w:top w:val="nil"/>
                <w:left w:val="nil"/>
                <w:bottom w:val="nil"/>
                <w:right w:val="nil"/>
                <w:between w:val="nil"/>
              </w:pBdr>
              <w:tabs>
                <w:tab w:val="left" w:pos="1901"/>
              </w:tabs>
              <w:spacing w:after="0" w:line="240" w:lineRule="auto"/>
              <w:ind w:left="701"/>
            </w:pPr>
            <w:r w:rsidRPr="009C70F7">
              <w:rPr>
                <w:color w:val="000000"/>
              </w:rPr>
              <w:t>copies of authorizing directives</w:t>
            </w:r>
          </w:p>
          <w:p w14:paraId="5429C047" w14:textId="77777777" w:rsidR="00731650" w:rsidRPr="009C70F7" w:rsidRDefault="00731650" w:rsidP="00731650">
            <w:pPr>
              <w:pStyle w:val="ListParagraph"/>
              <w:numPr>
                <w:ilvl w:val="0"/>
                <w:numId w:val="5"/>
              </w:numPr>
              <w:pBdr>
                <w:top w:val="nil"/>
                <w:left w:val="nil"/>
                <w:bottom w:val="nil"/>
                <w:right w:val="nil"/>
                <w:between w:val="nil"/>
              </w:pBdr>
              <w:tabs>
                <w:tab w:val="left" w:pos="1901"/>
              </w:tabs>
              <w:spacing w:after="0" w:line="240" w:lineRule="auto"/>
              <w:ind w:left="701"/>
            </w:pPr>
            <w:r w:rsidRPr="009C70F7">
              <w:rPr>
                <w:color w:val="000000"/>
              </w:rPr>
              <w:t>preparation instructions</w:t>
            </w:r>
          </w:p>
          <w:p w14:paraId="56757E37" w14:textId="77777777" w:rsidR="00731650" w:rsidRPr="009C70F7" w:rsidRDefault="00731650" w:rsidP="00731650">
            <w:pPr>
              <w:pStyle w:val="ListParagraph"/>
              <w:numPr>
                <w:ilvl w:val="0"/>
                <w:numId w:val="5"/>
              </w:numPr>
              <w:pBdr>
                <w:top w:val="nil"/>
                <w:left w:val="nil"/>
                <w:bottom w:val="nil"/>
                <w:right w:val="nil"/>
                <w:between w:val="nil"/>
              </w:pBdr>
              <w:tabs>
                <w:tab w:val="left" w:pos="1901"/>
              </w:tabs>
              <w:spacing w:after="0" w:line="240" w:lineRule="auto"/>
              <w:ind w:left="701"/>
            </w:pPr>
            <w:r w:rsidRPr="009C70F7">
              <w:rPr>
                <w:color w:val="000000"/>
              </w:rPr>
              <w:t>descriptions of required or standardized formats</w:t>
            </w:r>
          </w:p>
          <w:p w14:paraId="7449FD4B" w14:textId="77777777" w:rsidR="00731650" w:rsidRPr="009C70F7" w:rsidRDefault="00731650" w:rsidP="00731650">
            <w:pPr>
              <w:pStyle w:val="ListParagraph"/>
              <w:numPr>
                <w:ilvl w:val="0"/>
                <w:numId w:val="5"/>
              </w:numPr>
              <w:pBdr>
                <w:top w:val="nil"/>
                <w:left w:val="nil"/>
                <w:bottom w:val="nil"/>
                <w:right w:val="nil"/>
                <w:between w:val="nil"/>
              </w:pBdr>
              <w:tabs>
                <w:tab w:val="left" w:pos="1901"/>
              </w:tabs>
              <w:spacing w:after="0" w:line="240" w:lineRule="auto"/>
              <w:ind w:left="701"/>
            </w:pPr>
            <w:r w:rsidRPr="009C70F7">
              <w:rPr>
                <w:color w:val="000000"/>
              </w:rPr>
              <w:t>clearance forms</w:t>
            </w:r>
          </w:p>
          <w:p w14:paraId="3BFAA59D" w14:textId="77777777" w:rsidR="00731650" w:rsidRDefault="00731650" w:rsidP="00731650">
            <w:pPr>
              <w:pStyle w:val="ListParagraph"/>
              <w:numPr>
                <w:ilvl w:val="0"/>
                <w:numId w:val="5"/>
              </w:numPr>
              <w:pBdr>
                <w:top w:val="nil"/>
                <w:left w:val="nil"/>
                <w:bottom w:val="nil"/>
                <w:right w:val="nil"/>
                <w:between w:val="nil"/>
              </w:pBdr>
              <w:tabs>
                <w:tab w:val="left" w:pos="1901"/>
              </w:tabs>
              <w:spacing w:after="0" w:line="240" w:lineRule="auto"/>
              <w:ind w:left="701"/>
            </w:pPr>
            <w:r w:rsidRPr="009C70F7">
              <w:rPr>
                <w:color w:val="000000"/>
              </w:rPr>
              <w:lastRenderedPageBreak/>
              <w:t xml:space="preserve">documents on evaluating, continuing, revising, and discontinuing reporting requirements. </w:t>
            </w:r>
            <w:r>
              <w:t xml:space="preserve"> </w:t>
            </w:r>
          </w:p>
          <w:p w14:paraId="00E846D5" w14:textId="3A8CE41B" w:rsidR="00731650" w:rsidRDefault="00731650" w:rsidP="00731650">
            <w:pPr>
              <w:pBdr>
                <w:top w:val="nil"/>
                <w:left w:val="nil"/>
                <w:bottom w:val="nil"/>
                <w:right w:val="nil"/>
                <w:between w:val="nil"/>
              </w:pBdr>
              <w:tabs>
                <w:tab w:val="left" w:pos="1901"/>
              </w:tabs>
              <w:spacing w:after="0" w:line="240" w:lineRule="auto"/>
              <w:ind w:left="341"/>
            </w:pPr>
            <w:r>
              <w:t>This item applies only to management reports related to administrative activities.</w:t>
            </w:r>
          </w:p>
          <w:p w14:paraId="69F202F6" w14:textId="77777777" w:rsidR="00731650" w:rsidRDefault="00731650" w:rsidP="00731650">
            <w:pPr>
              <w:pBdr>
                <w:top w:val="nil"/>
                <w:left w:val="nil"/>
                <w:bottom w:val="nil"/>
                <w:right w:val="nil"/>
                <w:between w:val="nil"/>
              </w:pBdr>
              <w:tabs>
                <w:tab w:val="left" w:pos="1901"/>
              </w:tabs>
              <w:spacing w:after="0" w:line="240" w:lineRule="auto"/>
              <w:ind w:left="335"/>
              <w:rPr>
                <w:b/>
              </w:rPr>
            </w:pPr>
          </w:p>
          <w:p w14:paraId="3A74C5B8" w14:textId="0A65308D" w:rsidR="00731650" w:rsidRDefault="00731650" w:rsidP="00731650">
            <w:pPr>
              <w:pBdr>
                <w:top w:val="nil"/>
                <w:left w:val="nil"/>
                <w:bottom w:val="nil"/>
                <w:right w:val="nil"/>
                <w:between w:val="nil"/>
              </w:pBdr>
              <w:tabs>
                <w:tab w:val="left" w:pos="1901"/>
              </w:tabs>
              <w:spacing w:after="0" w:line="240" w:lineRule="auto"/>
              <w:ind w:left="335"/>
              <w:rPr>
                <w:highlight w:val="white"/>
              </w:rPr>
            </w:pPr>
            <w:r>
              <w:rPr>
                <w:b/>
              </w:rPr>
              <w:t>Exclusion:</w:t>
            </w:r>
            <w:r>
              <w:t xml:space="preserve"> Final reports created using these requirements. Use GRS 5.7, item 050, for mandatory reports related to administrative matters.</w:t>
            </w:r>
          </w:p>
        </w:tc>
        <w:tc>
          <w:tcPr>
            <w:tcW w:w="2070" w:type="dxa"/>
          </w:tcPr>
          <w:p w14:paraId="2CD20554" w14:textId="77777777" w:rsidR="00731650" w:rsidRDefault="00731650" w:rsidP="00731650">
            <w:pPr>
              <w:widowControl w:val="0"/>
              <w:spacing w:after="0" w:line="240" w:lineRule="auto"/>
              <w:rPr>
                <w:b/>
              </w:rPr>
            </w:pPr>
            <w:r>
              <w:rPr>
                <w:b/>
              </w:rPr>
              <w:lastRenderedPageBreak/>
              <w:t>Temporary</w:t>
            </w:r>
            <w:r>
              <w:t xml:space="preserve">.  Destroy 2 years after the report is discontinued, </w:t>
            </w:r>
            <w:r>
              <w:rPr>
                <w:color w:val="222222"/>
              </w:rPr>
              <w:t xml:space="preserve">but longer retention is authorized if required for </w:t>
            </w:r>
            <w:r>
              <w:rPr>
                <w:color w:val="222222"/>
              </w:rPr>
              <w:lastRenderedPageBreak/>
              <w:t>business use.</w:t>
            </w:r>
          </w:p>
        </w:tc>
        <w:tc>
          <w:tcPr>
            <w:tcW w:w="1350" w:type="dxa"/>
          </w:tcPr>
          <w:p w14:paraId="1023270F" w14:textId="77777777" w:rsidR="00731650" w:rsidRDefault="00731650" w:rsidP="00731650">
            <w:pPr>
              <w:spacing w:after="0" w:line="240" w:lineRule="auto"/>
            </w:pPr>
            <w:r>
              <w:lastRenderedPageBreak/>
              <w:t>DAA-GRS-2020-0001-0002</w:t>
            </w:r>
          </w:p>
        </w:tc>
      </w:tr>
      <w:tr w:rsidR="00731650" w14:paraId="04ED4AD1" w14:textId="77777777" w:rsidTr="00D77575">
        <w:tc>
          <w:tcPr>
            <w:tcW w:w="720" w:type="dxa"/>
          </w:tcPr>
          <w:p w14:paraId="601CDCB3" w14:textId="77777777" w:rsidR="00731650" w:rsidRDefault="00731650" w:rsidP="00731650">
            <w:pPr>
              <w:spacing w:after="0" w:line="240" w:lineRule="auto"/>
              <w:jc w:val="center"/>
            </w:pPr>
            <w:r>
              <w:t>050</w:t>
            </w:r>
          </w:p>
        </w:tc>
        <w:tc>
          <w:tcPr>
            <w:tcW w:w="10260" w:type="dxa"/>
          </w:tcPr>
          <w:p w14:paraId="4E4BA335" w14:textId="5A982220" w:rsidR="00731650" w:rsidRDefault="00731650" w:rsidP="00731650">
            <w:pPr>
              <w:shd w:val="clear" w:color="auto" w:fill="FFFFFF"/>
              <w:spacing w:after="0" w:line="240" w:lineRule="auto"/>
              <w:rPr>
                <w:b/>
              </w:rPr>
            </w:pPr>
            <w:r>
              <w:rPr>
                <w:b/>
              </w:rPr>
              <w:t>Mandatory reports to external federal entities regarding administrative activities.</w:t>
            </w:r>
          </w:p>
          <w:p w14:paraId="46C0FC79" w14:textId="5F27EEB0" w:rsidR="00731650" w:rsidRDefault="00731650" w:rsidP="00731650">
            <w:pPr>
              <w:shd w:val="clear" w:color="auto" w:fill="FFFFFF"/>
              <w:spacing w:after="0" w:line="240" w:lineRule="auto"/>
              <w:ind w:left="335"/>
            </w:pPr>
            <w:r>
              <w:rPr>
                <w:color w:val="222222"/>
              </w:rPr>
              <w:t>Agency-level reports</w:t>
            </w:r>
            <w:r>
              <w:t xml:space="preserve"> that external federal oversight entities such as the White House, Congress, OMB, the Office of Personnel Management (OPM), and General Services Administration (GSA), require under authorities such as (but not limited to) OMB Circular A-123, the Federal Managers Financial Integrity Act (FMFIA), the Chief Financial Officers Act (CFOA), the </w:t>
            </w:r>
            <w:r>
              <w:rPr>
                <w:color w:val="222222"/>
              </w:rPr>
              <w:t xml:space="preserve">Paperwork Reduction Act (PRA), Joint Committee on Printing requirements, and the </w:t>
            </w:r>
            <w:r>
              <w:t>FAIR Act.  Examples include:</w:t>
            </w:r>
          </w:p>
          <w:p w14:paraId="74A28E16"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t>Agency Financial Report (AFR)</w:t>
            </w:r>
          </w:p>
          <w:p w14:paraId="1B31E3EC"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 xml:space="preserve">Statement of Assurance (per FMFIA), or equivalent </w:t>
            </w:r>
          </w:p>
          <w:p w14:paraId="64018702"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information collection clearances</w:t>
            </w:r>
          </w:p>
          <w:p w14:paraId="29A5535C"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report on financial management systems’ compliance with requirements (per FMFIA), or equivalent</w:t>
            </w:r>
          </w:p>
          <w:p w14:paraId="467BBF06"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pPr>
            <w:r>
              <w:rPr>
                <w:color w:val="000000"/>
              </w:rPr>
              <w:t xml:space="preserve">report on internal controls for corporations covered by the Government Corporation Control Act (per CFOA) </w:t>
            </w:r>
          </w:p>
          <w:p w14:paraId="145C116A"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pPr>
            <w:r>
              <w:rPr>
                <w:color w:val="000000"/>
              </w:rPr>
              <w:t xml:space="preserve">EEOC reports </w:t>
            </w:r>
          </w:p>
          <w:p w14:paraId="2B14C6E2"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pPr>
            <w:r>
              <w:rPr>
                <w:color w:val="000000"/>
              </w:rPr>
              <w:t>Analysis and Action Plans and other reports required by EEOC’s MD 715</w:t>
            </w:r>
          </w:p>
          <w:p w14:paraId="571E887E"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No FEAR Act reports</w:t>
            </w:r>
          </w:p>
          <w:p w14:paraId="4967330C"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service organization auditor report, or equivalent</w:t>
            </w:r>
          </w:p>
          <w:p w14:paraId="171E3512"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 xml:space="preserve">improper payments report </w:t>
            </w:r>
          </w:p>
          <w:p w14:paraId="7CE6A19E"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 xml:space="preserve">premium class travel report </w:t>
            </w:r>
          </w:p>
          <w:p w14:paraId="36D31F70" w14:textId="0DB9996D"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report on property provided to non-federal recipients, schools, and nonprofit educational institutions</w:t>
            </w:r>
          </w:p>
          <w:p w14:paraId="5C69DB09"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feeder reports to the Status of Telework in the Federal Government Report to Congress</w:t>
            </w:r>
          </w:p>
          <w:p w14:paraId="6404CFD2" w14:textId="77777777" w:rsidR="00731650" w:rsidRDefault="00731650" w:rsidP="00731650">
            <w:pPr>
              <w:numPr>
                <w:ilvl w:val="0"/>
                <w:numId w:val="1"/>
              </w:numPr>
              <w:pBdr>
                <w:top w:val="nil"/>
                <w:left w:val="nil"/>
                <w:bottom w:val="nil"/>
                <w:right w:val="nil"/>
                <w:between w:val="nil"/>
              </w:pBdr>
              <w:shd w:val="clear" w:color="auto" w:fill="FFFFFF"/>
              <w:spacing w:after="0" w:line="240" w:lineRule="auto"/>
              <w:ind w:left="695"/>
              <w:rPr>
                <w:color w:val="000000"/>
              </w:rPr>
            </w:pPr>
            <w:r>
              <w:rPr>
                <w:color w:val="000000"/>
              </w:rPr>
              <w:t xml:space="preserve">feeder reports to GSA fleet reports </w:t>
            </w:r>
          </w:p>
          <w:p w14:paraId="27A5862E" w14:textId="77777777" w:rsidR="00731650" w:rsidRDefault="00731650" w:rsidP="00731650">
            <w:pPr>
              <w:shd w:val="clear" w:color="auto" w:fill="FFFFFF"/>
              <w:spacing w:after="0" w:line="240" w:lineRule="auto"/>
              <w:ind w:left="360"/>
            </w:pPr>
          </w:p>
          <w:p w14:paraId="141952DA" w14:textId="77777777" w:rsidR="00731650" w:rsidRDefault="00731650" w:rsidP="00731650">
            <w:pPr>
              <w:shd w:val="clear" w:color="auto" w:fill="FFFFFF"/>
              <w:spacing w:after="0" w:line="240" w:lineRule="auto"/>
              <w:ind w:left="360"/>
            </w:pPr>
            <w:r>
              <w:t>Includes ancillary records such as:</w:t>
            </w:r>
          </w:p>
          <w:p w14:paraId="2A8C3B41" w14:textId="77777777" w:rsidR="00731650" w:rsidRDefault="00731650" w:rsidP="00731650">
            <w:pPr>
              <w:numPr>
                <w:ilvl w:val="0"/>
                <w:numId w:val="4"/>
              </w:numPr>
              <w:pBdr>
                <w:top w:val="nil"/>
                <w:left w:val="nil"/>
                <w:bottom w:val="nil"/>
                <w:right w:val="nil"/>
                <w:between w:val="nil"/>
              </w:pBdr>
              <w:shd w:val="clear" w:color="auto" w:fill="FFFFFF"/>
              <w:spacing w:after="0" w:line="240" w:lineRule="auto"/>
              <w:rPr>
                <w:color w:val="000000"/>
              </w:rPr>
            </w:pPr>
            <w:r>
              <w:rPr>
                <w:color w:val="222222"/>
              </w:rPr>
              <w:t>background and research records</w:t>
            </w:r>
          </w:p>
          <w:p w14:paraId="60CA0015" w14:textId="77777777" w:rsidR="00731650" w:rsidRDefault="00731650" w:rsidP="00731650">
            <w:pPr>
              <w:numPr>
                <w:ilvl w:val="0"/>
                <w:numId w:val="4"/>
              </w:numPr>
              <w:pBdr>
                <w:top w:val="nil"/>
                <w:left w:val="nil"/>
                <w:bottom w:val="nil"/>
                <w:right w:val="nil"/>
                <w:between w:val="nil"/>
              </w:pBdr>
              <w:shd w:val="clear" w:color="auto" w:fill="FFFFFF"/>
              <w:spacing w:after="0" w:line="240" w:lineRule="auto"/>
              <w:rPr>
                <w:color w:val="000000"/>
              </w:rPr>
            </w:pPr>
            <w:r>
              <w:rPr>
                <w:color w:val="222222"/>
              </w:rPr>
              <w:t>submission packets and compilations</w:t>
            </w:r>
          </w:p>
          <w:p w14:paraId="40720CCE" w14:textId="77777777" w:rsidR="00731650" w:rsidRDefault="00731650" w:rsidP="00731650">
            <w:pPr>
              <w:numPr>
                <w:ilvl w:val="0"/>
                <w:numId w:val="4"/>
              </w:numPr>
              <w:pBdr>
                <w:top w:val="nil"/>
                <w:left w:val="nil"/>
                <w:bottom w:val="nil"/>
                <w:right w:val="nil"/>
                <w:between w:val="nil"/>
              </w:pBdr>
              <w:shd w:val="clear" w:color="auto" w:fill="FFFFFF"/>
              <w:spacing w:after="0" w:line="240" w:lineRule="auto"/>
              <w:rPr>
                <w:color w:val="000000"/>
              </w:rPr>
            </w:pPr>
            <w:r>
              <w:rPr>
                <w:color w:val="222222"/>
              </w:rPr>
              <w:t>related files</w:t>
            </w:r>
          </w:p>
          <w:p w14:paraId="7262193E" w14:textId="77777777" w:rsidR="00731650" w:rsidRDefault="00731650" w:rsidP="00731650">
            <w:pPr>
              <w:shd w:val="clear" w:color="auto" w:fill="FFFFFF"/>
              <w:spacing w:after="0" w:line="240" w:lineRule="auto"/>
              <w:ind w:left="331"/>
              <w:rPr>
                <w:b/>
              </w:rPr>
            </w:pPr>
          </w:p>
          <w:p w14:paraId="386F5AA2" w14:textId="77777777" w:rsidR="00731650" w:rsidRDefault="00731650" w:rsidP="00731650">
            <w:pPr>
              <w:shd w:val="clear" w:color="auto" w:fill="FFFFFF"/>
              <w:spacing w:after="0" w:line="240" w:lineRule="auto"/>
              <w:ind w:left="331"/>
            </w:pPr>
            <w:r>
              <w:rPr>
                <w:b/>
              </w:rPr>
              <w:t>Exclusion 1</w:t>
            </w:r>
            <w:r>
              <w:t>:  Oversight entities mandating the reports must separately schedule reports they receive.</w:t>
            </w:r>
          </w:p>
          <w:p w14:paraId="22F4BD1D" w14:textId="77777777" w:rsidR="00731650" w:rsidRDefault="00731650" w:rsidP="00731650">
            <w:pPr>
              <w:shd w:val="clear" w:color="auto" w:fill="FFFFFF"/>
              <w:spacing w:after="0" w:line="240" w:lineRule="auto"/>
              <w:ind w:left="331"/>
            </w:pPr>
          </w:p>
          <w:p w14:paraId="2207C738" w14:textId="77777777" w:rsidR="00731650" w:rsidRDefault="00731650" w:rsidP="00731650">
            <w:pPr>
              <w:shd w:val="clear" w:color="auto" w:fill="FFFFFF"/>
              <w:spacing w:after="0" w:line="240" w:lineRule="auto"/>
              <w:ind w:left="331"/>
            </w:pPr>
            <w:r>
              <w:rPr>
                <w:b/>
              </w:rPr>
              <w:t xml:space="preserve">Exclusion 2: </w:t>
            </w:r>
            <w:r>
              <w:t>Mandatory reports and records related to agency management and oversight that are not limited to administrative matters, such as agency Annual Performance Plans, Annual Performance Reports, Performance and Accountability Reports (PAR), and strategic planning records (agencies schedule these separately).</w:t>
            </w:r>
          </w:p>
          <w:p w14:paraId="1F728656" w14:textId="77777777" w:rsidR="00731650" w:rsidRDefault="00731650" w:rsidP="00731650">
            <w:pPr>
              <w:shd w:val="clear" w:color="auto" w:fill="FFFFFF"/>
              <w:spacing w:after="0" w:line="240" w:lineRule="auto"/>
              <w:ind w:left="331"/>
            </w:pPr>
          </w:p>
          <w:p w14:paraId="7CA73DED" w14:textId="72FB761D" w:rsidR="00731650" w:rsidRPr="00D77575" w:rsidRDefault="00731650" w:rsidP="00731650">
            <w:pPr>
              <w:pBdr>
                <w:top w:val="nil"/>
                <w:left w:val="nil"/>
                <w:bottom w:val="nil"/>
                <w:right w:val="nil"/>
                <w:between w:val="nil"/>
              </w:pBdr>
              <w:tabs>
                <w:tab w:val="left" w:pos="720"/>
                <w:tab w:val="left" w:pos="1080"/>
                <w:tab w:val="left" w:pos="1440"/>
              </w:tabs>
              <w:spacing w:after="0" w:line="240" w:lineRule="auto"/>
              <w:ind w:left="335"/>
              <w:rPr>
                <w:color w:val="222222"/>
              </w:rPr>
            </w:pPr>
            <w:r>
              <w:rPr>
                <w:b/>
                <w:color w:val="000000"/>
              </w:rPr>
              <w:t xml:space="preserve">Exclusion </w:t>
            </w:r>
            <w:r>
              <w:rPr>
                <w:b/>
              </w:rPr>
              <w:t>3</w:t>
            </w:r>
            <w:r>
              <w:rPr>
                <w:color w:val="000000"/>
              </w:rPr>
              <w:t xml:space="preserve">:  </w:t>
            </w:r>
            <w:r>
              <w:rPr>
                <w:color w:val="222222"/>
              </w:rPr>
              <w:t>Mandatory external reports on finance matters (GRS 1.1, items 020 and 040, cover these); mandatory external reports on employee ethics (various items in GRS 2.8 cover these); mandatory external reports on information access and protection (GRS 4.2, item 080, covers these).</w:t>
            </w:r>
          </w:p>
        </w:tc>
        <w:tc>
          <w:tcPr>
            <w:tcW w:w="2070" w:type="dxa"/>
          </w:tcPr>
          <w:p w14:paraId="36FFB9D0" w14:textId="77777777" w:rsidR="00731650" w:rsidRDefault="00731650" w:rsidP="00731650">
            <w:pPr>
              <w:spacing w:after="0" w:line="240" w:lineRule="auto"/>
              <w:rPr>
                <w:b/>
              </w:rPr>
            </w:pPr>
            <w:r>
              <w:rPr>
                <w:b/>
              </w:rPr>
              <w:lastRenderedPageBreak/>
              <w:t>Temporary</w:t>
            </w:r>
            <w:r>
              <w:t xml:space="preserve">.  </w:t>
            </w:r>
            <w:r>
              <w:rPr>
                <w:color w:val="222222"/>
              </w:rPr>
              <w:t xml:space="preserve">Destroy 6 years after report submission or </w:t>
            </w:r>
            <w:r>
              <w:t>oversight entity notice of approval,</w:t>
            </w:r>
            <w:r>
              <w:rPr>
                <w:color w:val="222222"/>
              </w:rPr>
              <w:t xml:space="preserve"> as appropriate, but longer retention is authorized if required for business use.</w:t>
            </w:r>
          </w:p>
        </w:tc>
        <w:tc>
          <w:tcPr>
            <w:tcW w:w="1350" w:type="dxa"/>
          </w:tcPr>
          <w:p w14:paraId="0B883F33" w14:textId="77777777" w:rsidR="00731650" w:rsidRDefault="00731650" w:rsidP="00731650">
            <w:pPr>
              <w:spacing w:after="0" w:line="240" w:lineRule="auto"/>
            </w:pPr>
            <w:r>
              <w:t>DAA-GRS-2020-0001-0003</w:t>
            </w:r>
          </w:p>
        </w:tc>
      </w:tr>
      <w:tr w:rsidR="00731650" w14:paraId="76E31E0B" w14:textId="77777777" w:rsidTr="00D77575">
        <w:tc>
          <w:tcPr>
            <w:tcW w:w="720" w:type="dxa"/>
          </w:tcPr>
          <w:p w14:paraId="1E5BEBC0" w14:textId="77777777" w:rsidR="00731650" w:rsidRDefault="00731650" w:rsidP="00731650">
            <w:pPr>
              <w:spacing w:after="0" w:line="240" w:lineRule="auto"/>
              <w:jc w:val="center"/>
            </w:pPr>
            <w:r>
              <w:t>060</w:t>
            </w:r>
          </w:p>
        </w:tc>
        <w:tc>
          <w:tcPr>
            <w:tcW w:w="10260" w:type="dxa"/>
          </w:tcPr>
          <w:p w14:paraId="476FE497" w14:textId="77777777" w:rsidR="00731650" w:rsidRDefault="00731650" w:rsidP="00731650">
            <w:pPr>
              <w:shd w:val="clear" w:color="auto" w:fill="FFFFFF"/>
              <w:spacing w:after="0" w:line="240" w:lineRule="auto"/>
            </w:pPr>
            <w:r>
              <w:rPr>
                <w:b/>
              </w:rPr>
              <w:t>Records of allegations and claims that fall under U.S. Office of Special Counsel jurisdiction.</w:t>
            </w:r>
          </w:p>
          <w:p w14:paraId="2AA14568" w14:textId="77777777" w:rsidR="00731650" w:rsidRDefault="00731650" w:rsidP="00731650">
            <w:pPr>
              <w:widowControl w:val="0"/>
              <w:shd w:val="clear" w:color="auto" w:fill="FFFFFF"/>
              <w:spacing w:after="0" w:line="240" w:lineRule="auto"/>
              <w:ind w:left="301"/>
            </w:pPr>
            <w:r>
              <w:t>Case files of interactions with the Office of Special Counsel (OSC) responding to allegations of illegality, waste, corruption, or other misconduct per the Civil Service Reform Act, Whistleblower Protection Act,</w:t>
            </w:r>
            <w:r>
              <w:rPr>
                <w:rFonts w:ascii="Arial" w:eastAsia="Arial" w:hAnsi="Arial" w:cs="Arial"/>
                <w:sz w:val="19"/>
                <w:szCs w:val="19"/>
              </w:rPr>
              <w:t xml:space="preserve"> </w:t>
            </w:r>
            <w:r>
              <w:t>Hatch Act, and Uniformed Services Employment &amp; Reemployment Rights Act (USERRA).  Includes correspondence with and reports to and from the OSC; copies of testimony or hearing transcripts; copies of lists of corrective actions, orders or decisions, and appeals; and copies of final adjudications thereof.</w:t>
            </w:r>
          </w:p>
          <w:p w14:paraId="07F06460" w14:textId="77777777" w:rsidR="00731650" w:rsidRDefault="00731650" w:rsidP="00731650">
            <w:pPr>
              <w:shd w:val="clear" w:color="auto" w:fill="FFFFFF"/>
              <w:spacing w:after="0" w:line="240" w:lineRule="auto"/>
              <w:ind w:left="335"/>
            </w:pPr>
          </w:p>
          <w:p w14:paraId="2C477631" w14:textId="77777777" w:rsidR="00731650" w:rsidRDefault="00731650" w:rsidP="00731650">
            <w:pPr>
              <w:shd w:val="clear" w:color="auto" w:fill="FFFFFF"/>
              <w:spacing w:line="240" w:lineRule="auto"/>
              <w:ind w:left="283"/>
            </w:pPr>
            <w:r>
              <w:rPr>
                <w:b/>
              </w:rPr>
              <w:t>Exclusion 1</w:t>
            </w:r>
            <w:r>
              <w:t>:  Records the Merit Systems Protection Board and the Office of Special Counsel create and hold (these entities schedule such records separately).</w:t>
            </w:r>
          </w:p>
          <w:p w14:paraId="7E06DA42" w14:textId="33EF1B8A" w:rsidR="00731650" w:rsidRDefault="00731650" w:rsidP="00731650">
            <w:pPr>
              <w:pBdr>
                <w:top w:val="nil"/>
                <w:left w:val="nil"/>
                <w:bottom w:val="nil"/>
                <w:right w:val="nil"/>
                <w:between w:val="nil"/>
              </w:pBdr>
              <w:tabs>
                <w:tab w:val="left" w:pos="720"/>
                <w:tab w:val="left" w:pos="1080"/>
                <w:tab w:val="left" w:pos="1440"/>
              </w:tabs>
              <w:spacing w:after="0" w:line="240" w:lineRule="auto"/>
              <w:ind w:left="313"/>
              <w:rPr>
                <w:color w:val="222222"/>
                <w:highlight w:val="white"/>
              </w:rPr>
            </w:pPr>
            <w:r>
              <w:rPr>
                <w:b/>
                <w:color w:val="222222"/>
                <w:highlight w:val="white"/>
              </w:rPr>
              <w:t>Exclusion 2</w:t>
            </w:r>
            <w:r>
              <w:rPr>
                <w:color w:val="222222"/>
                <w:highlight w:val="white"/>
              </w:rPr>
              <w:t>:  Records of allegations of illegality, waste, corruption, or other misconduct reported to authorities within the whistleblower's own agency and handled without involving OSC (agencies must schedule such records separately).</w:t>
            </w:r>
          </w:p>
        </w:tc>
        <w:tc>
          <w:tcPr>
            <w:tcW w:w="2070" w:type="dxa"/>
          </w:tcPr>
          <w:p w14:paraId="67F01F65" w14:textId="77777777" w:rsidR="00731650" w:rsidRDefault="00731650" w:rsidP="00731650">
            <w:pPr>
              <w:spacing w:after="0" w:line="240" w:lineRule="auto"/>
              <w:rPr>
                <w:b/>
              </w:rPr>
            </w:pPr>
            <w:r>
              <w:rPr>
                <w:b/>
              </w:rPr>
              <w:t>Temporary</w:t>
            </w:r>
            <w:r>
              <w:t>.  Destroy 3 years after final order or final adjudication of appeal, as appropriate, but longer retention is authorized if required for business use.</w:t>
            </w:r>
          </w:p>
        </w:tc>
        <w:tc>
          <w:tcPr>
            <w:tcW w:w="1350" w:type="dxa"/>
          </w:tcPr>
          <w:p w14:paraId="01F144A1" w14:textId="77777777" w:rsidR="00731650" w:rsidRDefault="00731650" w:rsidP="00731650">
            <w:pPr>
              <w:spacing w:after="0" w:line="240" w:lineRule="auto"/>
            </w:pPr>
            <w:r>
              <w:t>DAA-GRS-2017-0008-0006</w:t>
            </w:r>
          </w:p>
          <w:p w14:paraId="1FE28D49" w14:textId="77777777" w:rsidR="00731650" w:rsidRDefault="00731650" w:rsidP="00731650">
            <w:pPr>
              <w:spacing w:after="0" w:line="240" w:lineRule="auto"/>
            </w:pPr>
          </w:p>
          <w:p w14:paraId="5152F739" w14:textId="77777777" w:rsidR="00731650" w:rsidRDefault="00731650" w:rsidP="00731650">
            <w:pPr>
              <w:spacing w:after="0" w:line="240" w:lineRule="auto"/>
            </w:pPr>
          </w:p>
        </w:tc>
      </w:tr>
      <w:tr w:rsidR="00731650" w14:paraId="04666823" w14:textId="77777777">
        <w:trPr>
          <w:trHeight w:val="306"/>
        </w:trPr>
        <w:tc>
          <w:tcPr>
            <w:tcW w:w="14400" w:type="dxa"/>
            <w:gridSpan w:val="4"/>
            <w:shd w:val="clear" w:color="auto" w:fill="B6DDE8"/>
          </w:tcPr>
          <w:p w14:paraId="0204921F" w14:textId="77777777" w:rsidR="00731650" w:rsidRDefault="00731650" w:rsidP="00731650">
            <w:pPr>
              <w:spacing w:after="0" w:line="240" w:lineRule="auto"/>
              <w:rPr>
                <w:b/>
                <w:i/>
              </w:rPr>
            </w:pPr>
            <w:r>
              <w:rPr>
                <w:b/>
              </w:rPr>
              <w:t xml:space="preserve">Records Related to the </w:t>
            </w:r>
            <w:r>
              <w:rPr>
                <w:b/>
                <w:i/>
              </w:rPr>
              <w:t>Federal Register</w:t>
            </w:r>
          </w:p>
        </w:tc>
      </w:tr>
      <w:tr w:rsidR="00731650" w14:paraId="7FAF7A82" w14:textId="77777777" w:rsidTr="00D77575">
        <w:tc>
          <w:tcPr>
            <w:tcW w:w="720" w:type="dxa"/>
          </w:tcPr>
          <w:p w14:paraId="67B5B505" w14:textId="77777777" w:rsidR="00731650" w:rsidRDefault="00731650" w:rsidP="00731650">
            <w:pPr>
              <w:spacing w:after="0" w:line="240" w:lineRule="auto"/>
              <w:jc w:val="center"/>
            </w:pPr>
            <w:r>
              <w:t>070</w:t>
            </w:r>
          </w:p>
        </w:tc>
        <w:tc>
          <w:tcPr>
            <w:tcW w:w="10260" w:type="dxa"/>
          </w:tcPr>
          <w:p w14:paraId="40EE7B64" w14:textId="77777777" w:rsidR="00731650" w:rsidRDefault="00731650" w:rsidP="00731650">
            <w:pPr>
              <w:spacing w:after="0" w:line="240" w:lineRule="auto"/>
            </w:pPr>
            <w:r>
              <w:rPr>
                <w:b/>
                <w:i/>
              </w:rPr>
              <w:t>Federal Register</w:t>
            </w:r>
            <w:r>
              <w:rPr>
                <w:b/>
              </w:rPr>
              <w:t xml:space="preserve"> notices other than proposed and final rules.</w:t>
            </w:r>
          </w:p>
          <w:p w14:paraId="18007C2E" w14:textId="77777777" w:rsidR="00731650" w:rsidRDefault="00731650" w:rsidP="00731650">
            <w:pPr>
              <w:spacing w:after="0" w:line="240" w:lineRule="auto"/>
              <w:ind w:left="331"/>
            </w:pPr>
            <w:r>
              <w:t>Records of notices announcing public stakeholder meetings, hearings, investigations, petition filing, application filing, license issuance, license revocation, grant application deadlines, environmental impact statement availability, delegations of authority, hours of public opening, use of an agency’s seal, guidance, System of Records Notices (SORNs), Paperwork Reduction Act Information Collection Requests (PRA ICRs), and other matters not codified in the Code of Federal Regulations.</w:t>
            </w:r>
          </w:p>
          <w:p w14:paraId="65A8A3CF" w14:textId="77777777" w:rsidR="00731650" w:rsidRDefault="00731650" w:rsidP="00731650">
            <w:pPr>
              <w:spacing w:after="0" w:line="240" w:lineRule="auto"/>
              <w:ind w:left="331"/>
            </w:pPr>
          </w:p>
          <w:p w14:paraId="11A137C2" w14:textId="77777777" w:rsidR="00731650" w:rsidRDefault="00731650" w:rsidP="00731650">
            <w:pPr>
              <w:spacing w:after="0" w:line="240" w:lineRule="auto"/>
              <w:ind w:left="331"/>
            </w:pPr>
            <w:r>
              <w:rPr>
                <w:b/>
              </w:rPr>
              <w:t>Note 1</w:t>
            </w:r>
            <w:r>
              <w:t xml:space="preserve">:  SORNs </w:t>
            </w:r>
            <w:r>
              <w:rPr>
                <w:i/>
              </w:rPr>
              <w:t>per se</w:t>
            </w:r>
            <w:r>
              <w:t xml:space="preserve"> are covered by GRS 4.2, item 150.  </w:t>
            </w:r>
          </w:p>
          <w:p w14:paraId="70E4D51B" w14:textId="77777777" w:rsidR="00731650" w:rsidRDefault="00731650" w:rsidP="00731650">
            <w:pPr>
              <w:spacing w:after="0" w:line="240" w:lineRule="auto"/>
              <w:ind w:left="331"/>
            </w:pPr>
          </w:p>
          <w:p w14:paraId="15D05F87" w14:textId="77777777" w:rsidR="00731650" w:rsidRDefault="00731650" w:rsidP="00731650">
            <w:pPr>
              <w:spacing w:after="0" w:line="240" w:lineRule="auto"/>
              <w:ind w:left="331"/>
            </w:pPr>
            <w:r>
              <w:rPr>
                <w:b/>
              </w:rPr>
              <w:t>Note 2</w:t>
            </w:r>
            <w:r>
              <w:t>:  PRA Information Collection reports are covered by GRS 5.7, item 050.</w:t>
            </w:r>
          </w:p>
          <w:p w14:paraId="75ED751D" w14:textId="77777777" w:rsidR="00731650" w:rsidRDefault="00731650" w:rsidP="00731650">
            <w:pPr>
              <w:spacing w:after="0" w:line="240" w:lineRule="auto"/>
              <w:ind w:left="331"/>
            </w:pPr>
          </w:p>
          <w:p w14:paraId="3280BA34" w14:textId="77005146" w:rsidR="00731650" w:rsidRDefault="00731650" w:rsidP="00731650">
            <w:pPr>
              <w:spacing w:after="0" w:line="240" w:lineRule="auto"/>
              <w:ind w:left="331"/>
            </w:pPr>
            <w:r>
              <w:rPr>
                <w:b/>
              </w:rPr>
              <w:t>Note 3</w:t>
            </w:r>
            <w:r>
              <w:t>:  Notices of meetings of committees established under the Federal Advisory Committee Act (FACA) are covered by GRS 6.2, item 050.</w:t>
            </w:r>
          </w:p>
        </w:tc>
        <w:tc>
          <w:tcPr>
            <w:tcW w:w="2070" w:type="dxa"/>
          </w:tcPr>
          <w:p w14:paraId="0F7424AD" w14:textId="77777777" w:rsidR="00731650" w:rsidRDefault="00731650" w:rsidP="00731650">
            <w:pPr>
              <w:spacing w:after="0" w:line="240" w:lineRule="auto"/>
              <w:rPr>
                <w:b/>
              </w:rPr>
            </w:pPr>
            <w:r>
              <w:rPr>
                <w:b/>
              </w:rPr>
              <w:lastRenderedPageBreak/>
              <w:t>Temporary</w:t>
            </w:r>
            <w:r>
              <w:t>.  Destroy when 1 year old, but longer retention is authorized if required for business use.</w:t>
            </w:r>
          </w:p>
        </w:tc>
        <w:tc>
          <w:tcPr>
            <w:tcW w:w="1350" w:type="dxa"/>
          </w:tcPr>
          <w:p w14:paraId="75AFB4C5" w14:textId="77777777" w:rsidR="00731650" w:rsidRDefault="00731650" w:rsidP="00731650">
            <w:pPr>
              <w:spacing w:after="0" w:line="240" w:lineRule="auto"/>
            </w:pPr>
            <w:r>
              <w:t>DAA-GRS-2017-0012-0004</w:t>
            </w:r>
          </w:p>
          <w:p w14:paraId="70B6E50C" w14:textId="77777777" w:rsidR="00731650" w:rsidRDefault="00731650" w:rsidP="00731650">
            <w:pPr>
              <w:spacing w:after="0" w:line="240" w:lineRule="auto"/>
            </w:pPr>
          </w:p>
          <w:p w14:paraId="337DE463" w14:textId="77777777" w:rsidR="00731650" w:rsidRDefault="00731650" w:rsidP="00731650">
            <w:pPr>
              <w:spacing w:after="0" w:line="240" w:lineRule="auto"/>
            </w:pPr>
          </w:p>
        </w:tc>
      </w:tr>
      <w:tr w:rsidR="00731650" w14:paraId="2AE2C18C" w14:textId="77777777" w:rsidTr="00D77575">
        <w:tc>
          <w:tcPr>
            <w:tcW w:w="720" w:type="dxa"/>
          </w:tcPr>
          <w:p w14:paraId="09FBD78C" w14:textId="77777777" w:rsidR="00731650" w:rsidRDefault="00731650" w:rsidP="00731650">
            <w:pPr>
              <w:spacing w:after="0" w:line="240" w:lineRule="auto"/>
              <w:jc w:val="center"/>
            </w:pPr>
            <w:r>
              <w:t>080</w:t>
            </w:r>
          </w:p>
        </w:tc>
        <w:tc>
          <w:tcPr>
            <w:tcW w:w="10260" w:type="dxa"/>
          </w:tcPr>
          <w:p w14:paraId="1D88D553" w14:textId="77777777" w:rsidR="00731650" w:rsidRDefault="00731650" w:rsidP="00731650">
            <w:pPr>
              <w:spacing w:after="0" w:line="240" w:lineRule="auto"/>
            </w:pPr>
            <w:r>
              <w:rPr>
                <w:b/>
              </w:rPr>
              <w:t>Agency input into the unified agenda.</w:t>
            </w:r>
          </w:p>
          <w:p w14:paraId="256CA539" w14:textId="77777777" w:rsidR="00731650" w:rsidRDefault="00731650" w:rsidP="00731650">
            <w:pPr>
              <w:spacing w:after="0" w:line="240" w:lineRule="auto"/>
              <w:ind w:left="331"/>
            </w:pPr>
            <w:r>
              <w:t>Records that process agency input into the publication of:</w:t>
            </w:r>
          </w:p>
          <w:p w14:paraId="540B4DE7" w14:textId="77777777" w:rsidR="00731650" w:rsidRDefault="00731650" w:rsidP="00731650">
            <w:pPr>
              <w:numPr>
                <w:ilvl w:val="0"/>
                <w:numId w:val="2"/>
              </w:numPr>
              <w:tabs>
                <w:tab w:val="left" w:pos="605"/>
              </w:tabs>
              <w:spacing w:after="0" w:line="240" w:lineRule="auto"/>
              <w:ind w:left="695"/>
            </w:pPr>
            <w:r>
              <w:t xml:space="preserve">The </w:t>
            </w:r>
            <w:r>
              <w:rPr>
                <w:color w:val="222222"/>
                <w:highlight w:val="white"/>
              </w:rPr>
              <w:t>Unified Agenda of Federal Regulatory and Deregulatory Actions</w:t>
            </w:r>
            <w:r>
              <w:t xml:space="preserve"> (also known as the “unified agenda” or “semiannual regulatory agenda”) published by General Services Administration (GSA) with input from the Office of Management and Budget (OMB) </w:t>
            </w:r>
          </w:p>
          <w:p w14:paraId="50B87AB9" w14:textId="77777777" w:rsidR="00731650" w:rsidRDefault="00731650" w:rsidP="00731650">
            <w:pPr>
              <w:numPr>
                <w:ilvl w:val="0"/>
                <w:numId w:val="2"/>
              </w:numPr>
              <w:tabs>
                <w:tab w:val="left" w:pos="605"/>
              </w:tabs>
              <w:spacing w:after="0" w:line="240" w:lineRule="auto"/>
              <w:ind w:left="695"/>
            </w:pPr>
            <w:r>
              <w:t xml:space="preserve">agency regulatory flexibility agendas </w:t>
            </w:r>
          </w:p>
          <w:p w14:paraId="5048E2F3" w14:textId="77777777" w:rsidR="00731650" w:rsidRDefault="00731650" w:rsidP="00731650">
            <w:pPr>
              <w:numPr>
                <w:ilvl w:val="0"/>
                <w:numId w:val="2"/>
              </w:numPr>
              <w:tabs>
                <w:tab w:val="left" w:pos="605"/>
              </w:tabs>
              <w:spacing w:after="0" w:line="240" w:lineRule="auto"/>
              <w:ind w:left="695"/>
            </w:pPr>
            <w:r>
              <w:t xml:space="preserve">The Regulatory Plan </w:t>
            </w:r>
          </w:p>
          <w:p w14:paraId="173752A8" w14:textId="77777777" w:rsidR="00731650" w:rsidRDefault="00731650" w:rsidP="00731650">
            <w:pPr>
              <w:spacing w:after="0" w:line="240" w:lineRule="auto"/>
              <w:ind w:left="331"/>
            </w:pPr>
          </w:p>
          <w:p w14:paraId="406AAA5C" w14:textId="77777777" w:rsidR="00731650" w:rsidRDefault="00731650" w:rsidP="00731650">
            <w:pPr>
              <w:spacing w:after="0" w:line="240" w:lineRule="auto"/>
              <w:ind w:left="331"/>
            </w:pPr>
            <w:r>
              <w:rPr>
                <w:b/>
              </w:rPr>
              <w:t>Exclusion</w:t>
            </w:r>
            <w:r>
              <w:t>:  Compiled records received by GSA, OMB, and the Office of the Federal Register; those entities must schedule these records.</w:t>
            </w:r>
          </w:p>
        </w:tc>
        <w:tc>
          <w:tcPr>
            <w:tcW w:w="2070" w:type="dxa"/>
          </w:tcPr>
          <w:p w14:paraId="57164F28" w14:textId="77777777" w:rsidR="00731650" w:rsidRDefault="00731650" w:rsidP="00731650">
            <w:pPr>
              <w:spacing w:after="0" w:line="240" w:lineRule="auto"/>
              <w:rPr>
                <w:b/>
              </w:rPr>
            </w:pPr>
            <w:r>
              <w:rPr>
                <w:b/>
              </w:rPr>
              <w:t>Temporary</w:t>
            </w:r>
            <w:r>
              <w:t>.  Destroy when 2 years old, but longer retention is authorized if required for business use.</w:t>
            </w:r>
          </w:p>
        </w:tc>
        <w:tc>
          <w:tcPr>
            <w:tcW w:w="1350" w:type="dxa"/>
          </w:tcPr>
          <w:p w14:paraId="0DE7932B" w14:textId="77777777" w:rsidR="00731650" w:rsidRDefault="00731650" w:rsidP="00731650">
            <w:pPr>
              <w:spacing w:after="0" w:line="240" w:lineRule="auto"/>
            </w:pPr>
            <w:r>
              <w:t>DAA-GRS-2017-0012-0005</w:t>
            </w:r>
          </w:p>
          <w:p w14:paraId="08057FBD" w14:textId="77777777" w:rsidR="00731650" w:rsidRDefault="00731650" w:rsidP="00731650">
            <w:pPr>
              <w:spacing w:after="0" w:line="240" w:lineRule="auto"/>
            </w:pPr>
          </w:p>
          <w:p w14:paraId="56022217" w14:textId="77777777" w:rsidR="00731650" w:rsidRDefault="00731650" w:rsidP="00731650">
            <w:pPr>
              <w:spacing w:after="0" w:line="240" w:lineRule="auto"/>
            </w:pPr>
          </w:p>
        </w:tc>
      </w:tr>
    </w:tbl>
    <w:p w14:paraId="5827CEA1" w14:textId="77777777" w:rsidR="00AB1595" w:rsidRDefault="00AB1595">
      <w:pPr>
        <w:spacing w:after="0" w:line="240" w:lineRule="auto"/>
        <w:rPr>
          <w:b/>
        </w:rPr>
      </w:pPr>
    </w:p>
    <w:sectPr w:rsidR="00AB1595" w:rsidSect="00CC5C6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576" w:gutter="0"/>
      <w:pgNumType w:start="1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EA62" w14:textId="77777777" w:rsidR="007D41F1" w:rsidRDefault="007D41F1">
      <w:pPr>
        <w:spacing w:after="0" w:line="240" w:lineRule="auto"/>
      </w:pPr>
      <w:r>
        <w:separator/>
      </w:r>
    </w:p>
  </w:endnote>
  <w:endnote w:type="continuationSeparator" w:id="0">
    <w:p w14:paraId="6A0927C1" w14:textId="77777777" w:rsidR="007D41F1" w:rsidRDefault="007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1E19" w14:textId="77777777" w:rsidR="00AB1595" w:rsidRDefault="00AB15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DA4E" w14:textId="2B9BDFC3" w:rsidR="00AB1595" w:rsidRDefault="00AB1595">
    <w:pPr>
      <w:pBdr>
        <w:top w:val="nil"/>
        <w:left w:val="nil"/>
        <w:bottom w:val="nil"/>
        <w:right w:val="nil"/>
        <w:between w:val="nil"/>
      </w:pBdr>
      <w:tabs>
        <w:tab w:val="center" w:pos="4680"/>
        <w:tab w:val="right" w:pos="9360"/>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C177" w14:textId="77777777" w:rsidR="00AB1595" w:rsidRDefault="00AB15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8FCD" w14:textId="77777777" w:rsidR="007D41F1" w:rsidRDefault="007D41F1">
      <w:pPr>
        <w:spacing w:after="0" w:line="240" w:lineRule="auto"/>
      </w:pPr>
      <w:r>
        <w:separator/>
      </w:r>
    </w:p>
  </w:footnote>
  <w:footnote w:type="continuationSeparator" w:id="0">
    <w:p w14:paraId="7F5404E8" w14:textId="77777777" w:rsidR="007D41F1" w:rsidRDefault="007D4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D295" w14:textId="77777777" w:rsidR="00AB1595" w:rsidRDefault="00AB15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C631" w14:textId="74334DB7" w:rsidR="00D77575" w:rsidRPr="00A31178" w:rsidRDefault="00CC5C6B" w:rsidP="00D77575">
    <w:pPr>
      <w:pStyle w:val="Header"/>
      <w:tabs>
        <w:tab w:val="clear" w:pos="9360"/>
        <w:tab w:val="right" w:pos="14400"/>
      </w:tabs>
      <w:rPr>
        <w:b/>
        <w:bCs/>
        <w:sz w:val="20"/>
        <w:szCs w:val="20"/>
      </w:rPr>
    </w:pPr>
    <w:r>
      <w:rPr>
        <w:b/>
        <w:bCs/>
        <w:sz w:val="20"/>
        <w:szCs w:val="20"/>
      </w:rPr>
      <w:t xml:space="preserve">Last updated in </w:t>
    </w:r>
    <w:r w:rsidR="00D77575" w:rsidRPr="00A31178">
      <w:rPr>
        <w:b/>
        <w:bCs/>
        <w:sz w:val="20"/>
        <w:szCs w:val="20"/>
      </w:rPr>
      <w:t xml:space="preserve">Transmittal No. </w:t>
    </w:r>
    <w:r w:rsidR="00D77575">
      <w:rPr>
        <w:b/>
        <w:bCs/>
        <w:sz w:val="20"/>
        <w:szCs w:val="20"/>
      </w:rPr>
      <w:t>32</w:t>
    </w:r>
    <w:r w:rsidR="00D77575" w:rsidRPr="00A31178">
      <w:rPr>
        <w:b/>
        <w:bCs/>
        <w:sz w:val="20"/>
        <w:szCs w:val="20"/>
      </w:rPr>
      <w:tab/>
    </w:r>
    <w:r w:rsidR="00D77575" w:rsidRPr="00A31178">
      <w:rPr>
        <w:b/>
        <w:bCs/>
        <w:sz w:val="20"/>
        <w:szCs w:val="20"/>
      </w:rPr>
      <w:tab/>
      <w:t>General Records Schedule</w:t>
    </w:r>
    <w:r w:rsidR="00D77575">
      <w:rPr>
        <w:b/>
        <w:bCs/>
        <w:sz w:val="20"/>
        <w:szCs w:val="20"/>
      </w:rPr>
      <w:t xml:space="preserve"> 5.7</w:t>
    </w:r>
  </w:p>
  <w:p w14:paraId="507E32BD" w14:textId="5A5F8D77" w:rsidR="00AB1595" w:rsidRDefault="00D77575" w:rsidP="00D77575">
    <w:pPr>
      <w:pStyle w:val="Header"/>
      <w:tabs>
        <w:tab w:val="right" w:pos="14400"/>
      </w:tabs>
      <w:rPr>
        <w:b/>
        <w:bCs/>
        <w:sz w:val="20"/>
        <w:szCs w:val="20"/>
      </w:rPr>
    </w:pPr>
    <w:r>
      <w:rPr>
        <w:b/>
        <w:bCs/>
        <w:sz w:val="20"/>
        <w:szCs w:val="20"/>
      </w:rPr>
      <w:t>March</w:t>
    </w:r>
    <w:r w:rsidRPr="00B43268">
      <w:rPr>
        <w:b/>
        <w:bCs/>
        <w:sz w:val="20"/>
        <w:szCs w:val="20"/>
      </w:rPr>
      <w:t xml:space="preserve"> </w:t>
    </w:r>
    <w:r>
      <w:rPr>
        <w:b/>
        <w:bCs/>
        <w:sz w:val="20"/>
        <w:szCs w:val="20"/>
      </w:rPr>
      <w:t>2022</w:t>
    </w:r>
  </w:p>
  <w:p w14:paraId="1EC2F8DB" w14:textId="77777777" w:rsidR="00D77575" w:rsidRPr="00D77575" w:rsidRDefault="00D77575" w:rsidP="00D77575">
    <w:pPr>
      <w:pStyle w:val="Header"/>
      <w:tabs>
        <w:tab w:val="right" w:pos="14400"/>
      </w:tabs>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4AD6" w14:textId="77777777" w:rsidR="00AB1595" w:rsidRDefault="00052FFB">
    <w:pPr>
      <w:pBdr>
        <w:top w:val="nil"/>
        <w:left w:val="nil"/>
        <w:bottom w:val="nil"/>
        <w:right w:val="nil"/>
        <w:between w:val="nil"/>
      </w:pBdr>
      <w:tabs>
        <w:tab w:val="right" w:pos="14400"/>
      </w:tabs>
      <w:spacing w:after="0" w:line="240" w:lineRule="auto"/>
      <w:rPr>
        <w:b/>
        <w:color w:val="000000"/>
        <w:sz w:val="20"/>
        <w:szCs w:val="20"/>
      </w:rPr>
    </w:pPr>
    <w:r>
      <w:rPr>
        <w:b/>
        <w:color w:val="000000"/>
        <w:sz w:val="20"/>
        <w:szCs w:val="20"/>
      </w:rPr>
      <w:t>Transmittal No. 24</w:t>
    </w:r>
    <w:r>
      <w:rPr>
        <w:b/>
        <w:color w:val="000000"/>
        <w:sz w:val="20"/>
        <w:szCs w:val="20"/>
      </w:rPr>
      <w:tab/>
    </w:r>
    <w:r>
      <w:rPr>
        <w:b/>
        <w:color w:val="000000"/>
        <w:sz w:val="20"/>
        <w:szCs w:val="20"/>
      </w:rPr>
      <w:tab/>
      <w:t>General Records Schedule 4.2</w:t>
    </w:r>
  </w:p>
  <w:p w14:paraId="3448D72C" w14:textId="77777777" w:rsidR="00AB1595" w:rsidRDefault="00052FFB">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June 2015</w:t>
    </w:r>
  </w:p>
  <w:p w14:paraId="69738E3F" w14:textId="77777777" w:rsidR="00AB1595" w:rsidRDefault="00AB15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57A5"/>
    <w:multiLevelType w:val="multilevel"/>
    <w:tmpl w:val="4D343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4C3442"/>
    <w:multiLevelType w:val="multilevel"/>
    <w:tmpl w:val="24B69F64"/>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2" w15:restartNumberingAfterBreak="0">
    <w:nsid w:val="398C6C3E"/>
    <w:multiLevelType w:val="multilevel"/>
    <w:tmpl w:val="BA9C7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34557B"/>
    <w:multiLevelType w:val="multilevel"/>
    <w:tmpl w:val="323A4F30"/>
    <w:lvl w:ilvl="0">
      <w:start w:val="1"/>
      <w:numFmt w:val="bullet"/>
      <w:lvlText w:val="●"/>
      <w:lvlJc w:val="left"/>
      <w:pPr>
        <w:ind w:left="1055" w:hanging="360"/>
      </w:pPr>
      <w:rPr>
        <w:rFonts w:ascii="Noto Sans Symbols" w:eastAsia="Noto Sans Symbols" w:hAnsi="Noto Sans Symbols" w:cs="Noto Sans Symbols"/>
      </w:rPr>
    </w:lvl>
    <w:lvl w:ilvl="1">
      <w:start w:val="1"/>
      <w:numFmt w:val="bullet"/>
      <w:lvlText w:val="o"/>
      <w:lvlJc w:val="left"/>
      <w:pPr>
        <w:ind w:left="1775" w:hanging="360"/>
      </w:pPr>
      <w:rPr>
        <w:rFonts w:ascii="Courier New" w:eastAsia="Courier New" w:hAnsi="Courier New" w:cs="Courier New"/>
      </w:rPr>
    </w:lvl>
    <w:lvl w:ilvl="2">
      <w:start w:val="1"/>
      <w:numFmt w:val="bullet"/>
      <w:lvlText w:val="▪"/>
      <w:lvlJc w:val="left"/>
      <w:pPr>
        <w:ind w:left="2495" w:hanging="360"/>
      </w:pPr>
      <w:rPr>
        <w:rFonts w:ascii="Noto Sans Symbols" w:eastAsia="Noto Sans Symbols" w:hAnsi="Noto Sans Symbols" w:cs="Noto Sans Symbols"/>
      </w:rPr>
    </w:lvl>
    <w:lvl w:ilvl="3">
      <w:start w:val="1"/>
      <w:numFmt w:val="bullet"/>
      <w:lvlText w:val="●"/>
      <w:lvlJc w:val="left"/>
      <w:pPr>
        <w:ind w:left="3215" w:hanging="360"/>
      </w:pPr>
      <w:rPr>
        <w:rFonts w:ascii="Noto Sans Symbols" w:eastAsia="Noto Sans Symbols" w:hAnsi="Noto Sans Symbols" w:cs="Noto Sans Symbols"/>
      </w:rPr>
    </w:lvl>
    <w:lvl w:ilvl="4">
      <w:start w:val="1"/>
      <w:numFmt w:val="bullet"/>
      <w:lvlText w:val="o"/>
      <w:lvlJc w:val="left"/>
      <w:pPr>
        <w:ind w:left="3935" w:hanging="360"/>
      </w:pPr>
      <w:rPr>
        <w:rFonts w:ascii="Courier New" w:eastAsia="Courier New" w:hAnsi="Courier New" w:cs="Courier New"/>
      </w:rPr>
    </w:lvl>
    <w:lvl w:ilvl="5">
      <w:start w:val="1"/>
      <w:numFmt w:val="bullet"/>
      <w:lvlText w:val="▪"/>
      <w:lvlJc w:val="left"/>
      <w:pPr>
        <w:ind w:left="4655" w:hanging="360"/>
      </w:pPr>
      <w:rPr>
        <w:rFonts w:ascii="Noto Sans Symbols" w:eastAsia="Noto Sans Symbols" w:hAnsi="Noto Sans Symbols" w:cs="Noto Sans Symbols"/>
      </w:rPr>
    </w:lvl>
    <w:lvl w:ilvl="6">
      <w:start w:val="1"/>
      <w:numFmt w:val="bullet"/>
      <w:lvlText w:val="●"/>
      <w:lvlJc w:val="left"/>
      <w:pPr>
        <w:ind w:left="5375" w:hanging="360"/>
      </w:pPr>
      <w:rPr>
        <w:rFonts w:ascii="Noto Sans Symbols" w:eastAsia="Noto Sans Symbols" w:hAnsi="Noto Sans Symbols" w:cs="Noto Sans Symbols"/>
      </w:rPr>
    </w:lvl>
    <w:lvl w:ilvl="7">
      <w:start w:val="1"/>
      <w:numFmt w:val="bullet"/>
      <w:lvlText w:val="o"/>
      <w:lvlJc w:val="left"/>
      <w:pPr>
        <w:ind w:left="6095" w:hanging="360"/>
      </w:pPr>
      <w:rPr>
        <w:rFonts w:ascii="Courier New" w:eastAsia="Courier New" w:hAnsi="Courier New" w:cs="Courier New"/>
      </w:rPr>
    </w:lvl>
    <w:lvl w:ilvl="8">
      <w:start w:val="1"/>
      <w:numFmt w:val="bullet"/>
      <w:lvlText w:val="▪"/>
      <w:lvlJc w:val="left"/>
      <w:pPr>
        <w:ind w:left="6815" w:hanging="360"/>
      </w:pPr>
      <w:rPr>
        <w:rFonts w:ascii="Noto Sans Symbols" w:eastAsia="Noto Sans Symbols" w:hAnsi="Noto Sans Symbols" w:cs="Noto Sans Symbols"/>
      </w:rPr>
    </w:lvl>
  </w:abstractNum>
  <w:abstractNum w:abstractNumId="4" w15:restartNumberingAfterBreak="0">
    <w:nsid w:val="5CB8360E"/>
    <w:multiLevelType w:val="hybridMultilevel"/>
    <w:tmpl w:val="C848F33E"/>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16cid:durableId="2111316530">
    <w:abstractNumId w:val="3"/>
  </w:num>
  <w:num w:numId="2" w16cid:durableId="1669626758">
    <w:abstractNumId w:val="1"/>
  </w:num>
  <w:num w:numId="3" w16cid:durableId="2038003194">
    <w:abstractNumId w:val="0"/>
  </w:num>
  <w:num w:numId="4" w16cid:durableId="873234104">
    <w:abstractNumId w:val="2"/>
  </w:num>
  <w:num w:numId="5" w16cid:durableId="2074041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95"/>
    <w:rsid w:val="00052FFB"/>
    <w:rsid w:val="000B0F1B"/>
    <w:rsid w:val="00194D81"/>
    <w:rsid w:val="00367820"/>
    <w:rsid w:val="003876A3"/>
    <w:rsid w:val="003B70F8"/>
    <w:rsid w:val="003B7B89"/>
    <w:rsid w:val="004314BB"/>
    <w:rsid w:val="006B7136"/>
    <w:rsid w:val="00731650"/>
    <w:rsid w:val="007D41F1"/>
    <w:rsid w:val="00915358"/>
    <w:rsid w:val="009C70F7"/>
    <w:rsid w:val="00A1524E"/>
    <w:rsid w:val="00AB1595"/>
    <w:rsid w:val="00B16B03"/>
    <w:rsid w:val="00B61C59"/>
    <w:rsid w:val="00BE66E5"/>
    <w:rsid w:val="00C12645"/>
    <w:rsid w:val="00CC5C6B"/>
    <w:rsid w:val="00D77575"/>
    <w:rsid w:val="00E3038E"/>
    <w:rsid w:val="00F87AAB"/>
    <w:rsid w:val="00F94818"/>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7BDC"/>
  <w15:docId w15:val="{E29FC1AC-F3C0-456B-91A2-D7016FF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paragraph" w:styleId="Header">
    <w:name w:val="header"/>
    <w:basedOn w:val="Normal"/>
    <w:link w:val="HeaderChar"/>
    <w:uiPriority w:val="99"/>
    <w:unhideWhenUsed/>
    <w:rsid w:val="00D77575"/>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D77575"/>
    <w:rPr>
      <w:rFonts w:cs="Times New Roman"/>
    </w:rPr>
  </w:style>
  <w:style w:type="paragraph" w:styleId="Footer">
    <w:name w:val="footer"/>
    <w:basedOn w:val="Normal"/>
    <w:link w:val="FooterChar"/>
    <w:uiPriority w:val="99"/>
    <w:unhideWhenUsed/>
    <w:rsid w:val="00D77575"/>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77575"/>
    <w:rPr>
      <w:rFonts w:asciiTheme="minorHAnsi" w:eastAsiaTheme="minorEastAsia" w:hAnsiTheme="minorHAnsi" w:cs="Times New Roman"/>
    </w:rPr>
  </w:style>
  <w:style w:type="paragraph" w:styleId="ListParagraph">
    <w:name w:val="List Paragraph"/>
    <w:basedOn w:val="Normal"/>
    <w:uiPriority w:val="34"/>
    <w:qFormat/>
    <w:rsid w:val="009C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​National Archives and Records Administration (NARA)</Manager>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Archives and Records Administration (NARA)</dc:creator>
  <cp:lastModifiedBy>Jocelyn L Blakely-Hill</cp:lastModifiedBy>
  <cp:revision>5</cp:revision>
  <dcterms:created xsi:type="dcterms:W3CDTF">2022-03-11T20:50:00Z</dcterms:created>
  <dcterms:modified xsi:type="dcterms:W3CDTF">2023-06-05T12:35:00Z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07683f150413642948a11424c8ac767f68bd532493ab9b63dc1330627daa3882</vt:lpwstr>
  </property>
</Properties>
</file>