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CE430" w14:textId="77777777" w:rsidR="0093487B" w:rsidRDefault="008D2044" w:rsidP="00CF7E9F">
      <w:pPr>
        <w:spacing w:line="240" w:lineRule="auto"/>
        <w:jc w:val="center"/>
        <w:rPr>
          <w:rFonts w:cs="Arial"/>
          <w:b/>
          <w:sz w:val="36"/>
          <w:szCs w:val="36"/>
        </w:rPr>
      </w:pPr>
      <w:r w:rsidRPr="00601818">
        <w:rPr>
          <w:rFonts w:cs="Arial"/>
          <w:b/>
          <w:sz w:val="36"/>
          <w:szCs w:val="36"/>
        </w:rPr>
        <w:t>GENERAL RECORDS SC</w:t>
      </w:r>
      <w:r w:rsidR="00A21CE8">
        <w:rPr>
          <w:rFonts w:cs="Arial"/>
          <w:b/>
          <w:sz w:val="36"/>
          <w:szCs w:val="36"/>
        </w:rPr>
        <w:t>HED</w:t>
      </w:r>
      <w:bookmarkStart w:id="0" w:name="_GoBack"/>
      <w:bookmarkEnd w:id="0"/>
      <w:r w:rsidR="00A21CE8">
        <w:rPr>
          <w:rFonts w:cs="Arial"/>
          <w:b/>
          <w:sz w:val="36"/>
          <w:szCs w:val="36"/>
        </w:rPr>
        <w:t xml:space="preserve">ULE </w:t>
      </w:r>
      <w:r w:rsidR="00AF14BB">
        <w:rPr>
          <w:rFonts w:cs="Arial"/>
          <w:b/>
          <w:sz w:val="36"/>
          <w:szCs w:val="36"/>
        </w:rPr>
        <w:t>6.6</w:t>
      </w:r>
      <w:r w:rsidR="00A21CE8">
        <w:rPr>
          <w:rFonts w:cs="Arial"/>
          <w:b/>
          <w:sz w:val="36"/>
          <w:szCs w:val="36"/>
        </w:rPr>
        <w:t>:</w:t>
      </w:r>
      <w:r w:rsidR="00CF7E9F">
        <w:rPr>
          <w:rFonts w:cs="Arial"/>
          <w:b/>
          <w:sz w:val="36"/>
          <w:szCs w:val="36"/>
        </w:rPr>
        <w:t xml:space="preserve">  </w:t>
      </w:r>
      <w:r w:rsidR="00D60BE0">
        <w:rPr>
          <w:rFonts w:cs="Arial"/>
          <w:b/>
          <w:sz w:val="36"/>
          <w:szCs w:val="36"/>
        </w:rPr>
        <w:t>Rulemaking</w:t>
      </w:r>
      <w:r w:rsidRPr="00601818">
        <w:rPr>
          <w:rFonts w:cs="Arial"/>
          <w:b/>
          <w:sz w:val="36"/>
          <w:szCs w:val="36"/>
        </w:rPr>
        <w:t xml:space="preserve"> Records</w:t>
      </w:r>
    </w:p>
    <w:p w14:paraId="1D8502A7" w14:textId="77777777" w:rsidR="008D2044" w:rsidRPr="00601818" w:rsidRDefault="008D2044" w:rsidP="008D2044">
      <w:pPr>
        <w:spacing w:line="240" w:lineRule="auto"/>
        <w:rPr>
          <w:rFonts w:cs="Arial"/>
        </w:rPr>
      </w:pPr>
    </w:p>
    <w:p w14:paraId="3F88E633" w14:textId="77777777" w:rsidR="00BF732D" w:rsidRPr="00BF732D" w:rsidRDefault="00BF732D" w:rsidP="00BF732D">
      <w:pPr>
        <w:shd w:val="clear" w:color="auto" w:fill="FFFFFF"/>
        <w:spacing w:line="240" w:lineRule="auto"/>
        <w:ind w:left="-450" w:right="-540"/>
        <w:rPr>
          <w:rFonts w:eastAsia="Times New Roman" w:cs="Arial"/>
          <w:color w:val="222222"/>
        </w:rPr>
      </w:pPr>
      <w:r w:rsidRPr="00BF732D">
        <w:rPr>
          <w:rFonts w:eastAsia="Times New Roman" w:cs="Arial"/>
          <w:color w:val="222222"/>
        </w:rPr>
        <w:t>Rulemaking is defined by the Administrative Procedure Act (APA) as the “</w:t>
      </w:r>
      <w:r w:rsidRPr="00BF732D">
        <w:t xml:space="preserve">agency process for formulating, amending, or repealing a rule” (5 U.S.C. 551(5)).  This process results in the agency issuing a final regulation, which it publishes in the </w:t>
      </w:r>
      <w:r w:rsidRPr="00BF732D">
        <w:rPr>
          <w:i/>
        </w:rPr>
        <w:t>Federal Register</w:t>
      </w:r>
      <w:r w:rsidRPr="00BF732D">
        <w:t xml:space="preserve"> and </w:t>
      </w:r>
      <w:r w:rsidRPr="00BF732D">
        <w:rPr>
          <w:rFonts w:eastAsia="Times New Roman" w:cs="Arial"/>
          <w:color w:val="222222"/>
        </w:rPr>
        <w:t xml:space="preserve">codifies in the Code of Federal Regulations.  This schedule covers certain records created in that process.  It also covers records documenting public notices that do not relate to rules and regulations but that agencies disseminate via publication in the </w:t>
      </w:r>
      <w:r w:rsidRPr="00BF732D">
        <w:rPr>
          <w:rFonts w:eastAsia="Times New Roman" w:cs="Arial"/>
          <w:i/>
          <w:color w:val="222222"/>
        </w:rPr>
        <w:t>Federal Register</w:t>
      </w:r>
      <w:r w:rsidRPr="00BF732D">
        <w:rPr>
          <w:rFonts w:eastAsia="Times New Roman" w:cs="Arial"/>
          <w:color w:val="222222"/>
        </w:rPr>
        <w:t>.</w:t>
      </w:r>
    </w:p>
    <w:p w14:paraId="01F40241" w14:textId="77777777" w:rsidR="00BF732D" w:rsidRPr="00BF732D" w:rsidRDefault="00BF732D" w:rsidP="00BF732D">
      <w:pPr>
        <w:shd w:val="clear" w:color="auto" w:fill="FFFFFF"/>
        <w:spacing w:line="240" w:lineRule="auto"/>
        <w:ind w:left="-450" w:right="-540"/>
        <w:rPr>
          <w:rFonts w:eastAsia="Times New Roman" w:cs="Arial"/>
          <w:color w:val="222222"/>
        </w:rPr>
      </w:pPr>
    </w:p>
    <w:p w14:paraId="405A22F6" w14:textId="09073548" w:rsidR="00251BA4" w:rsidRDefault="00BF732D" w:rsidP="00BF732D">
      <w:pPr>
        <w:shd w:val="clear" w:color="auto" w:fill="FFFFFF"/>
        <w:spacing w:line="240" w:lineRule="auto"/>
        <w:ind w:left="-450" w:right="-540"/>
        <w:rPr>
          <w:rFonts w:eastAsia="Times New Roman" w:cs="Arial"/>
          <w:color w:val="222222"/>
        </w:rPr>
      </w:pPr>
      <w:r w:rsidRPr="00BF732D">
        <w:rPr>
          <w:rFonts w:eastAsia="Times New Roman" w:cs="Arial"/>
          <w:color w:val="222222"/>
        </w:rPr>
        <w:t xml:space="preserve">With one exception (see item 030), this schedule does not cover records created after a proposed rule first appears in the </w:t>
      </w:r>
      <w:r w:rsidRPr="00BF732D">
        <w:rPr>
          <w:rFonts w:eastAsia="Times New Roman" w:cs="Arial"/>
          <w:i/>
          <w:color w:val="222222"/>
        </w:rPr>
        <w:t>Federal Register</w:t>
      </w:r>
      <w:r w:rsidRPr="00BF732D">
        <w:rPr>
          <w:rFonts w:eastAsia="Times New Roman" w:cs="Arial"/>
          <w:color w:val="222222"/>
        </w:rPr>
        <w:t xml:space="preserve"> (item 020 lists points at which first publication might appear).  Records created after first appearance in the </w:t>
      </w:r>
      <w:r w:rsidRPr="00BF732D">
        <w:rPr>
          <w:rFonts w:eastAsia="Times New Roman" w:cs="Arial"/>
          <w:i/>
          <w:color w:val="222222"/>
        </w:rPr>
        <w:t>Federal Register</w:t>
      </w:r>
      <w:r w:rsidRPr="00BF732D">
        <w:rPr>
          <w:rFonts w:eastAsia="Times New Roman" w:cs="Arial"/>
          <w:color w:val="222222"/>
        </w:rPr>
        <w:t xml:space="preserve"> are contained in a case file, often called a</w:t>
      </w:r>
      <w:r>
        <w:rPr>
          <w:rFonts w:eastAsia="Times New Roman" w:cs="Arial"/>
          <w:color w:val="222222"/>
        </w:rPr>
        <w:t xml:space="preserve"> “docket.”  Dockets may be of permanent value depending on the particular rule or an agency’s mission.  Therefore, each agency must schedule its rulemaking dockets</w:t>
      </w:r>
      <w:r w:rsidRPr="003C3388">
        <w:rPr>
          <w:rFonts w:eastAsia="Times New Roman" w:cs="Arial"/>
          <w:color w:val="222222"/>
        </w:rPr>
        <w:t xml:space="preserve"> </w:t>
      </w:r>
      <w:r>
        <w:rPr>
          <w:rFonts w:eastAsia="Times New Roman" w:cs="Arial"/>
          <w:color w:val="222222"/>
        </w:rPr>
        <w:t>independently.</w:t>
      </w:r>
    </w:p>
    <w:p w14:paraId="5C6EF7C0" w14:textId="77777777" w:rsidR="008D2044" w:rsidRPr="00601818" w:rsidRDefault="008D2044" w:rsidP="008D2044">
      <w:pPr>
        <w:spacing w:line="240" w:lineRule="auto"/>
        <w:rPr>
          <w:rFonts w:cs="Arial"/>
        </w:rPr>
      </w:pPr>
    </w:p>
    <w:tbl>
      <w:tblPr>
        <w:tblW w:w="139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20"/>
        <w:gridCol w:w="9000"/>
        <w:gridCol w:w="2790"/>
        <w:gridCol w:w="1440"/>
      </w:tblGrid>
      <w:tr w:rsidR="008D2044" w:rsidRPr="00601818" w14:paraId="3599387A" w14:textId="77777777" w:rsidTr="00C25A8B">
        <w:trPr>
          <w:tblHeader/>
        </w:trPr>
        <w:tc>
          <w:tcPr>
            <w:tcW w:w="720" w:type="dxa"/>
            <w:tcBorders>
              <w:bottom w:val="single" w:sz="4" w:space="0" w:color="auto"/>
            </w:tcBorders>
            <w:shd w:val="clear" w:color="auto" w:fill="B6DDE8"/>
          </w:tcPr>
          <w:p w14:paraId="28236A1A" w14:textId="77777777" w:rsidR="008D2044" w:rsidRPr="00601818" w:rsidRDefault="008D2044" w:rsidP="00DF2419">
            <w:pPr>
              <w:spacing w:line="240" w:lineRule="auto"/>
              <w:rPr>
                <w:rFonts w:cs="Arial"/>
                <w:b/>
              </w:rPr>
            </w:pPr>
            <w:r w:rsidRPr="00601818">
              <w:rPr>
                <w:rFonts w:cs="Arial"/>
                <w:b/>
              </w:rPr>
              <w:t>Item</w:t>
            </w:r>
          </w:p>
        </w:tc>
        <w:tc>
          <w:tcPr>
            <w:tcW w:w="9000" w:type="dxa"/>
            <w:tcBorders>
              <w:bottom w:val="single" w:sz="4" w:space="0" w:color="auto"/>
            </w:tcBorders>
            <w:shd w:val="clear" w:color="auto" w:fill="B6DDE8"/>
          </w:tcPr>
          <w:p w14:paraId="71AA40C2" w14:textId="77777777" w:rsidR="008D2044" w:rsidRPr="00601818" w:rsidRDefault="008D2044" w:rsidP="00DF2419">
            <w:pPr>
              <w:spacing w:line="240" w:lineRule="auto"/>
              <w:rPr>
                <w:rFonts w:cs="Arial"/>
                <w:b/>
              </w:rPr>
            </w:pPr>
            <w:r w:rsidRPr="00601818">
              <w:rPr>
                <w:rFonts w:cs="Arial"/>
                <w:b/>
              </w:rPr>
              <w:t>Records Description</w:t>
            </w:r>
          </w:p>
        </w:tc>
        <w:tc>
          <w:tcPr>
            <w:tcW w:w="2790" w:type="dxa"/>
            <w:tcBorders>
              <w:bottom w:val="single" w:sz="4" w:space="0" w:color="auto"/>
            </w:tcBorders>
            <w:shd w:val="clear" w:color="auto" w:fill="B6DDE8"/>
          </w:tcPr>
          <w:p w14:paraId="2B834019" w14:textId="77777777" w:rsidR="008D2044" w:rsidRPr="00601818" w:rsidRDefault="008D2044" w:rsidP="00A21CE8">
            <w:pPr>
              <w:spacing w:line="240" w:lineRule="auto"/>
              <w:jc w:val="center"/>
              <w:rPr>
                <w:rFonts w:cs="Arial"/>
                <w:b/>
              </w:rPr>
            </w:pPr>
            <w:r w:rsidRPr="00601818">
              <w:rPr>
                <w:rFonts w:cs="Arial"/>
                <w:b/>
              </w:rPr>
              <w:t>Disposition Instruction</w:t>
            </w:r>
          </w:p>
        </w:tc>
        <w:tc>
          <w:tcPr>
            <w:tcW w:w="1440" w:type="dxa"/>
            <w:tcBorders>
              <w:bottom w:val="single" w:sz="4" w:space="0" w:color="auto"/>
            </w:tcBorders>
            <w:shd w:val="clear" w:color="auto" w:fill="B6DDE8"/>
          </w:tcPr>
          <w:p w14:paraId="653ECF07" w14:textId="77777777" w:rsidR="008D2044" w:rsidRPr="00601818" w:rsidRDefault="008D2044" w:rsidP="00A21CE8">
            <w:pPr>
              <w:spacing w:line="240" w:lineRule="auto"/>
              <w:jc w:val="center"/>
              <w:rPr>
                <w:rFonts w:cs="Arial"/>
                <w:b/>
              </w:rPr>
            </w:pPr>
            <w:r w:rsidRPr="00601818">
              <w:rPr>
                <w:rFonts w:cs="Arial"/>
                <w:b/>
              </w:rPr>
              <w:t>Disposition Authority</w:t>
            </w:r>
          </w:p>
        </w:tc>
      </w:tr>
      <w:tr w:rsidR="001B0298" w:rsidRPr="00601818" w14:paraId="615A82DF" w14:textId="77777777" w:rsidTr="00C25A8B">
        <w:trPr>
          <w:trHeight w:val="3007"/>
        </w:trPr>
        <w:tc>
          <w:tcPr>
            <w:tcW w:w="720" w:type="dxa"/>
            <w:tcBorders>
              <w:top w:val="single" w:sz="4" w:space="0" w:color="auto"/>
              <w:left w:val="single" w:sz="4" w:space="0" w:color="auto"/>
              <w:right w:val="single" w:sz="4" w:space="0" w:color="auto"/>
            </w:tcBorders>
          </w:tcPr>
          <w:p w14:paraId="4B181B15" w14:textId="3AEF151D" w:rsidR="001B0298" w:rsidRPr="00601818" w:rsidRDefault="001B0298" w:rsidP="001B0298">
            <w:pPr>
              <w:spacing w:line="240" w:lineRule="auto"/>
              <w:jc w:val="center"/>
              <w:rPr>
                <w:rFonts w:cs="Arial"/>
              </w:rPr>
            </w:pPr>
            <w:r>
              <w:rPr>
                <w:rFonts w:cs="Arial"/>
              </w:rPr>
              <w:t>010</w:t>
            </w:r>
          </w:p>
        </w:tc>
        <w:tc>
          <w:tcPr>
            <w:tcW w:w="9000" w:type="dxa"/>
            <w:tcBorders>
              <w:top w:val="single" w:sz="4" w:space="0" w:color="auto"/>
              <w:left w:val="single" w:sz="4" w:space="0" w:color="auto"/>
            </w:tcBorders>
          </w:tcPr>
          <w:p w14:paraId="20AB269C" w14:textId="77777777" w:rsidR="001B0298" w:rsidRDefault="001B0298" w:rsidP="00D447E4">
            <w:pPr>
              <w:autoSpaceDE w:val="0"/>
              <w:autoSpaceDN w:val="0"/>
              <w:adjustRightInd w:val="0"/>
              <w:spacing w:line="240" w:lineRule="auto"/>
              <w:contextualSpacing/>
              <w:rPr>
                <w:b/>
                <w:color w:val="000000"/>
              </w:rPr>
            </w:pPr>
            <w:r>
              <w:rPr>
                <w:rFonts w:cs="Arial"/>
                <w:b/>
              </w:rPr>
              <w:t>Records of proposed rule development</w:t>
            </w:r>
            <w:r w:rsidRPr="00601818">
              <w:rPr>
                <w:b/>
                <w:color w:val="000000"/>
              </w:rPr>
              <w:t xml:space="preserve">. </w:t>
            </w:r>
          </w:p>
          <w:p w14:paraId="60F4EF69" w14:textId="484ED36A" w:rsidR="001B0298" w:rsidRPr="00A13B8C" w:rsidRDefault="00E31A7E" w:rsidP="00D60BE0">
            <w:pPr>
              <w:autoSpaceDE w:val="0"/>
              <w:autoSpaceDN w:val="0"/>
              <w:adjustRightInd w:val="0"/>
              <w:spacing w:line="240" w:lineRule="auto"/>
              <w:ind w:left="331"/>
              <w:contextualSpacing/>
            </w:pPr>
            <w:r>
              <w:rPr>
                <w:color w:val="222222"/>
                <w:shd w:val="clear" w:color="auto" w:fill="FFFFFF"/>
              </w:rPr>
              <w:t xml:space="preserve">Records of internal development of agency rules in preparation for </w:t>
            </w:r>
            <w:r w:rsidRPr="00E31A7E">
              <w:rPr>
                <w:i/>
                <w:color w:val="222222"/>
                <w:shd w:val="clear" w:color="auto" w:fill="FFFFFF"/>
              </w:rPr>
              <w:t>Federal Register</w:t>
            </w:r>
            <w:r>
              <w:rPr>
                <w:color w:val="222222"/>
                <w:shd w:val="clear" w:color="auto" w:fill="FFFFFF"/>
              </w:rPr>
              <w:t xml:space="preserve"> publication as a proposed rule, including case files that result in final rules, case files that do not result in final rules, and case files of exemptions to rules</w:t>
            </w:r>
            <w:r w:rsidR="001B0298" w:rsidRPr="00A13B8C">
              <w:t>.  Includes:</w:t>
            </w:r>
          </w:p>
          <w:p w14:paraId="2F916696" w14:textId="0262AD2D" w:rsidR="001B0298" w:rsidRPr="00E31A7E" w:rsidRDefault="001B0298" w:rsidP="00032FD9">
            <w:pPr>
              <w:pStyle w:val="ListParagraph"/>
              <w:numPr>
                <w:ilvl w:val="0"/>
                <w:numId w:val="7"/>
              </w:numPr>
              <w:autoSpaceDE w:val="0"/>
              <w:autoSpaceDN w:val="0"/>
              <w:adjustRightInd w:val="0"/>
              <w:spacing w:line="240" w:lineRule="auto"/>
              <w:ind w:left="605" w:hanging="270"/>
              <w:rPr>
                <w:rFonts w:cs="Arial"/>
              </w:rPr>
            </w:pPr>
            <w:r w:rsidRPr="00A13B8C">
              <w:rPr>
                <w:rFonts w:cs="Arial"/>
              </w:rPr>
              <w:t>briefing p</w:t>
            </w:r>
            <w:r w:rsidRPr="00E31A7E">
              <w:rPr>
                <w:rFonts w:cs="Arial"/>
              </w:rPr>
              <w:t>apers</w:t>
            </w:r>
            <w:r w:rsidR="00E31A7E" w:rsidRPr="00E31A7E">
              <w:rPr>
                <w:rFonts w:cs="Arial"/>
              </w:rPr>
              <w:t xml:space="preserve"> and options papers presented to management</w:t>
            </w:r>
          </w:p>
          <w:p w14:paraId="7819615B" w14:textId="5C5D9E73" w:rsidR="001B0298" w:rsidRPr="00A13B8C" w:rsidRDefault="001B0298" w:rsidP="00032FD9">
            <w:pPr>
              <w:pStyle w:val="ListParagraph"/>
              <w:numPr>
                <w:ilvl w:val="0"/>
                <w:numId w:val="7"/>
              </w:numPr>
              <w:autoSpaceDE w:val="0"/>
              <w:autoSpaceDN w:val="0"/>
              <w:adjustRightInd w:val="0"/>
              <w:spacing w:line="240" w:lineRule="auto"/>
              <w:ind w:left="605" w:hanging="270"/>
              <w:rPr>
                <w:rFonts w:cs="Arial"/>
              </w:rPr>
            </w:pPr>
            <w:r w:rsidRPr="00A13B8C">
              <w:rPr>
                <w:rFonts w:cs="Arial"/>
              </w:rPr>
              <w:t>rule/regulation drafts</w:t>
            </w:r>
            <w:r w:rsidR="00A13B8C" w:rsidRPr="00A13B8C">
              <w:rPr>
                <w:rFonts w:cs="Arial"/>
              </w:rPr>
              <w:t xml:space="preserve"> presented to management</w:t>
            </w:r>
          </w:p>
          <w:p w14:paraId="00B8CA3C" w14:textId="0E948955" w:rsidR="001B0298" w:rsidRPr="00A13B8C" w:rsidRDefault="00317525" w:rsidP="00032FD9">
            <w:pPr>
              <w:pStyle w:val="ListParagraph"/>
              <w:numPr>
                <w:ilvl w:val="0"/>
                <w:numId w:val="7"/>
              </w:numPr>
              <w:autoSpaceDE w:val="0"/>
              <w:autoSpaceDN w:val="0"/>
              <w:adjustRightInd w:val="0"/>
              <w:spacing w:line="240" w:lineRule="auto"/>
              <w:ind w:left="605" w:hanging="270"/>
              <w:rPr>
                <w:rFonts w:cs="Arial"/>
              </w:rPr>
            </w:pPr>
            <w:r w:rsidRPr="00A13B8C">
              <w:rPr>
                <w:rFonts w:cs="Arial"/>
              </w:rPr>
              <w:t xml:space="preserve">internal </w:t>
            </w:r>
            <w:r w:rsidR="001B0298" w:rsidRPr="00A13B8C">
              <w:rPr>
                <w:rFonts w:cs="Arial"/>
              </w:rPr>
              <w:t>comments in response to drafts</w:t>
            </w:r>
            <w:r w:rsidR="00A13B8C" w:rsidRPr="00A13B8C">
              <w:rPr>
                <w:rFonts w:cs="Arial"/>
              </w:rPr>
              <w:t xml:space="preserve"> presented to management</w:t>
            </w:r>
          </w:p>
          <w:p w14:paraId="705DAA57" w14:textId="545CB2EE" w:rsidR="002D765F" w:rsidRPr="00A13B8C" w:rsidRDefault="002D765F" w:rsidP="00032FD9">
            <w:pPr>
              <w:pStyle w:val="ListParagraph"/>
              <w:numPr>
                <w:ilvl w:val="0"/>
                <w:numId w:val="7"/>
              </w:numPr>
              <w:autoSpaceDE w:val="0"/>
              <w:autoSpaceDN w:val="0"/>
              <w:adjustRightInd w:val="0"/>
              <w:spacing w:line="240" w:lineRule="auto"/>
              <w:ind w:left="605" w:hanging="270"/>
              <w:rPr>
                <w:rFonts w:cs="Arial"/>
              </w:rPr>
            </w:pPr>
            <w:r w:rsidRPr="00A13B8C">
              <w:rPr>
                <w:rFonts w:cs="Arial"/>
              </w:rPr>
              <w:t>stakeholder input</w:t>
            </w:r>
          </w:p>
          <w:p w14:paraId="4C33221C" w14:textId="77777777" w:rsidR="001B0298" w:rsidRPr="00A13B8C" w:rsidRDefault="001B0298" w:rsidP="00032FD9">
            <w:pPr>
              <w:pStyle w:val="ListParagraph"/>
              <w:numPr>
                <w:ilvl w:val="0"/>
                <w:numId w:val="7"/>
              </w:numPr>
              <w:autoSpaceDE w:val="0"/>
              <w:autoSpaceDN w:val="0"/>
              <w:adjustRightInd w:val="0"/>
              <w:spacing w:line="240" w:lineRule="auto"/>
              <w:ind w:left="605" w:hanging="270"/>
              <w:rPr>
                <w:rFonts w:cs="Arial"/>
              </w:rPr>
            </w:pPr>
            <w:r w:rsidRPr="00A13B8C">
              <w:rPr>
                <w:rFonts w:cs="Arial"/>
              </w:rPr>
              <w:t>analyses</w:t>
            </w:r>
          </w:p>
          <w:p w14:paraId="60B05C7F" w14:textId="77777777" w:rsidR="001B0298" w:rsidRPr="00A13B8C" w:rsidRDefault="001B0298" w:rsidP="00032FD9">
            <w:pPr>
              <w:pStyle w:val="ListParagraph"/>
              <w:numPr>
                <w:ilvl w:val="0"/>
                <w:numId w:val="7"/>
              </w:numPr>
              <w:autoSpaceDE w:val="0"/>
              <w:autoSpaceDN w:val="0"/>
              <w:adjustRightInd w:val="0"/>
              <w:spacing w:line="240" w:lineRule="auto"/>
              <w:ind w:left="605" w:hanging="270"/>
              <w:rPr>
                <w:rFonts w:cs="Arial"/>
              </w:rPr>
            </w:pPr>
            <w:r w:rsidRPr="00A13B8C">
              <w:rPr>
                <w:rFonts w:cs="Arial"/>
              </w:rPr>
              <w:t>clearances</w:t>
            </w:r>
          </w:p>
          <w:p w14:paraId="68D94EA6" w14:textId="77777777" w:rsidR="001B0298" w:rsidRPr="00A13B8C" w:rsidRDefault="001B0298" w:rsidP="00032FD9">
            <w:pPr>
              <w:pStyle w:val="ListParagraph"/>
              <w:numPr>
                <w:ilvl w:val="0"/>
                <w:numId w:val="7"/>
              </w:numPr>
              <w:autoSpaceDE w:val="0"/>
              <w:autoSpaceDN w:val="0"/>
              <w:adjustRightInd w:val="0"/>
              <w:spacing w:line="240" w:lineRule="auto"/>
              <w:ind w:left="605" w:hanging="270"/>
              <w:rPr>
                <w:rFonts w:cs="Arial"/>
              </w:rPr>
            </w:pPr>
            <w:r w:rsidRPr="00A13B8C">
              <w:rPr>
                <w:rFonts w:cs="Arial"/>
              </w:rPr>
              <w:t>summary sheets</w:t>
            </w:r>
          </w:p>
          <w:p w14:paraId="73AB2053" w14:textId="77777777" w:rsidR="001B0298" w:rsidRPr="00A13B8C" w:rsidRDefault="001B0298" w:rsidP="00032FD9">
            <w:pPr>
              <w:pStyle w:val="ListParagraph"/>
              <w:numPr>
                <w:ilvl w:val="0"/>
                <w:numId w:val="7"/>
              </w:numPr>
              <w:autoSpaceDE w:val="0"/>
              <w:autoSpaceDN w:val="0"/>
              <w:adjustRightInd w:val="0"/>
              <w:spacing w:line="240" w:lineRule="auto"/>
              <w:ind w:left="605" w:hanging="270"/>
              <w:rPr>
                <w:rFonts w:cs="Arial"/>
              </w:rPr>
            </w:pPr>
            <w:r w:rsidRPr="00A13B8C">
              <w:rPr>
                <w:rFonts w:cs="Arial"/>
              </w:rPr>
              <w:t>background and supporting materials</w:t>
            </w:r>
          </w:p>
          <w:p w14:paraId="0704112F" w14:textId="054241E0" w:rsidR="001B0298" w:rsidRPr="00A13B8C" w:rsidRDefault="001B0298" w:rsidP="00032FD9">
            <w:pPr>
              <w:pStyle w:val="ListParagraph"/>
              <w:numPr>
                <w:ilvl w:val="0"/>
                <w:numId w:val="7"/>
              </w:numPr>
              <w:autoSpaceDE w:val="0"/>
              <w:autoSpaceDN w:val="0"/>
              <w:adjustRightInd w:val="0"/>
              <w:spacing w:line="240" w:lineRule="auto"/>
              <w:ind w:left="605" w:hanging="270"/>
              <w:rPr>
                <w:rFonts w:cs="Arial"/>
              </w:rPr>
            </w:pPr>
            <w:r w:rsidRPr="00A13B8C">
              <w:rPr>
                <w:bCs/>
              </w:rPr>
              <w:t>records documenting a notice of inquiry</w:t>
            </w:r>
            <w:r w:rsidRPr="00A13B8C">
              <w:t xml:space="preserve"> (</w:t>
            </w:r>
            <w:r w:rsidRPr="00A13B8C">
              <w:rPr>
                <w:bCs/>
              </w:rPr>
              <w:t>NOI</w:t>
            </w:r>
            <w:r w:rsidRPr="00A13B8C">
              <w:t>)</w:t>
            </w:r>
            <w:r w:rsidR="002D765F" w:rsidRPr="00A13B8C">
              <w:t xml:space="preserve"> </w:t>
            </w:r>
            <w:r w:rsidR="000C4F52">
              <w:rPr>
                <w:rFonts w:asciiTheme="minorHAnsi" w:hAnsiTheme="minorHAnsi"/>
              </w:rPr>
              <w:t>a</w:t>
            </w:r>
            <w:r w:rsidR="002D765F" w:rsidRPr="00A13B8C">
              <w:rPr>
                <w:rFonts w:asciiTheme="minorHAnsi" w:hAnsiTheme="minorHAnsi"/>
              </w:rPr>
              <w:t xml:space="preserve">dvance </w:t>
            </w:r>
            <w:r w:rsidR="000C4F52">
              <w:rPr>
                <w:rFonts w:asciiTheme="minorHAnsi" w:hAnsiTheme="minorHAnsi"/>
              </w:rPr>
              <w:t>n</w:t>
            </w:r>
            <w:r w:rsidR="002D765F" w:rsidRPr="00A13B8C">
              <w:rPr>
                <w:rFonts w:asciiTheme="minorHAnsi" w:hAnsiTheme="minorHAnsi"/>
              </w:rPr>
              <w:t xml:space="preserve">otice of </w:t>
            </w:r>
            <w:r w:rsidR="000C4F52">
              <w:rPr>
                <w:rFonts w:asciiTheme="minorHAnsi" w:hAnsiTheme="minorHAnsi"/>
              </w:rPr>
              <w:t>p</w:t>
            </w:r>
            <w:r w:rsidR="002D765F" w:rsidRPr="00A13B8C">
              <w:rPr>
                <w:rFonts w:asciiTheme="minorHAnsi" w:hAnsiTheme="minorHAnsi"/>
              </w:rPr>
              <w:t xml:space="preserve">roposed </w:t>
            </w:r>
            <w:r w:rsidR="000C4F52">
              <w:rPr>
                <w:rFonts w:asciiTheme="minorHAnsi" w:hAnsiTheme="minorHAnsi"/>
              </w:rPr>
              <w:t>r</w:t>
            </w:r>
            <w:r w:rsidR="002D765F" w:rsidRPr="00A13B8C">
              <w:rPr>
                <w:rFonts w:asciiTheme="minorHAnsi" w:hAnsiTheme="minorHAnsi"/>
              </w:rPr>
              <w:t xml:space="preserve">ulemaking (ANPRM), or </w:t>
            </w:r>
            <w:r w:rsidR="000C4F52">
              <w:rPr>
                <w:rFonts w:asciiTheme="minorHAnsi" w:hAnsiTheme="minorHAnsi"/>
              </w:rPr>
              <w:t>r</w:t>
            </w:r>
            <w:r w:rsidR="002D765F" w:rsidRPr="00A13B8C">
              <w:rPr>
                <w:rFonts w:asciiTheme="minorHAnsi" w:hAnsiTheme="minorHAnsi"/>
              </w:rPr>
              <w:t xml:space="preserve">equest for </w:t>
            </w:r>
            <w:r w:rsidR="000C4F52">
              <w:rPr>
                <w:rFonts w:asciiTheme="minorHAnsi" w:hAnsiTheme="minorHAnsi"/>
              </w:rPr>
              <w:t>i</w:t>
            </w:r>
            <w:r w:rsidR="002D765F" w:rsidRPr="00A13B8C">
              <w:rPr>
                <w:rFonts w:asciiTheme="minorHAnsi" w:hAnsiTheme="minorHAnsi"/>
              </w:rPr>
              <w:t>nformation (RFI)</w:t>
            </w:r>
            <w:r w:rsidRPr="00A13B8C">
              <w:t xml:space="preserve"> in the Federal Register inviting comments on a not-yet-proposed rule, and comments received in response</w:t>
            </w:r>
          </w:p>
          <w:p w14:paraId="446DABE5" w14:textId="4D3F2489" w:rsidR="00982AC4" w:rsidRPr="00A13B8C" w:rsidRDefault="00FA4DA3" w:rsidP="00032FD9">
            <w:pPr>
              <w:pStyle w:val="ListParagraph"/>
              <w:numPr>
                <w:ilvl w:val="0"/>
                <w:numId w:val="7"/>
              </w:numPr>
              <w:autoSpaceDE w:val="0"/>
              <w:autoSpaceDN w:val="0"/>
              <w:adjustRightInd w:val="0"/>
              <w:spacing w:line="240" w:lineRule="auto"/>
              <w:ind w:left="605" w:hanging="270"/>
              <w:rPr>
                <w:rFonts w:cs="Arial"/>
              </w:rPr>
            </w:pPr>
            <w:r w:rsidRPr="00A13B8C">
              <w:rPr>
                <w:rFonts w:cs="Arial"/>
              </w:rPr>
              <w:t>concept releases</w:t>
            </w:r>
          </w:p>
          <w:p w14:paraId="0A696F51" w14:textId="3F190311" w:rsidR="00FA4DA3" w:rsidRDefault="00FA4DA3" w:rsidP="00032FD9">
            <w:pPr>
              <w:pStyle w:val="ListParagraph"/>
              <w:numPr>
                <w:ilvl w:val="0"/>
                <w:numId w:val="7"/>
              </w:numPr>
              <w:autoSpaceDE w:val="0"/>
              <w:autoSpaceDN w:val="0"/>
              <w:adjustRightInd w:val="0"/>
              <w:spacing w:line="240" w:lineRule="auto"/>
              <w:ind w:left="605" w:hanging="270"/>
              <w:rPr>
                <w:rFonts w:cs="Arial"/>
              </w:rPr>
            </w:pPr>
            <w:r w:rsidRPr="00A13B8C">
              <w:rPr>
                <w:rFonts w:cs="Arial"/>
              </w:rPr>
              <w:t xml:space="preserve">petitions </w:t>
            </w:r>
            <w:r w:rsidR="009104E4">
              <w:rPr>
                <w:rFonts w:cs="Arial"/>
              </w:rPr>
              <w:t>to issue, amend, or repeal a</w:t>
            </w:r>
            <w:r w:rsidR="009104E4" w:rsidRPr="00A13B8C">
              <w:rPr>
                <w:rFonts w:cs="Arial"/>
              </w:rPr>
              <w:t xml:space="preserve"> </w:t>
            </w:r>
            <w:r w:rsidRPr="00A13B8C">
              <w:rPr>
                <w:rFonts w:cs="Arial"/>
              </w:rPr>
              <w:t>rule</w:t>
            </w:r>
          </w:p>
          <w:p w14:paraId="3FEE443F" w14:textId="32BCF36A" w:rsidR="00A61986" w:rsidRPr="005E28D9" w:rsidRDefault="00A61986" w:rsidP="00032FD9">
            <w:pPr>
              <w:pStyle w:val="ListParagraph"/>
              <w:numPr>
                <w:ilvl w:val="0"/>
                <w:numId w:val="7"/>
              </w:numPr>
              <w:autoSpaceDE w:val="0"/>
              <w:autoSpaceDN w:val="0"/>
              <w:adjustRightInd w:val="0"/>
              <w:spacing w:line="240" w:lineRule="auto"/>
              <w:ind w:left="605" w:hanging="270"/>
              <w:rPr>
                <w:rFonts w:cs="Arial"/>
              </w:rPr>
            </w:pPr>
            <w:r w:rsidRPr="005E28D9">
              <w:rPr>
                <w:rFonts w:cs="Arial"/>
              </w:rPr>
              <w:t>petitions for exemption</w:t>
            </w:r>
          </w:p>
          <w:p w14:paraId="5D98067A" w14:textId="3D977466" w:rsidR="00317525" w:rsidRPr="00A13B8C" w:rsidRDefault="00317525" w:rsidP="00032FD9">
            <w:pPr>
              <w:pStyle w:val="ListParagraph"/>
              <w:numPr>
                <w:ilvl w:val="0"/>
                <w:numId w:val="7"/>
              </w:numPr>
              <w:autoSpaceDE w:val="0"/>
              <w:autoSpaceDN w:val="0"/>
              <w:adjustRightInd w:val="0"/>
              <w:spacing w:line="240" w:lineRule="auto"/>
              <w:ind w:left="605" w:hanging="270"/>
              <w:rPr>
                <w:rFonts w:cs="Arial"/>
              </w:rPr>
            </w:pPr>
            <w:r w:rsidRPr="00A13B8C">
              <w:rPr>
                <w:rFonts w:asciiTheme="minorHAnsi" w:hAnsiTheme="minorHAnsi" w:cs="Arial"/>
              </w:rPr>
              <w:lastRenderedPageBreak/>
              <w:t xml:space="preserve">decision </w:t>
            </w:r>
            <w:r w:rsidR="009104E4" w:rsidRPr="00A13B8C">
              <w:rPr>
                <w:rFonts w:asciiTheme="minorHAnsi" w:hAnsiTheme="minorHAnsi" w:cs="Arial"/>
              </w:rPr>
              <w:t>memorand</w:t>
            </w:r>
            <w:r w:rsidR="009104E4">
              <w:rPr>
                <w:rFonts w:asciiTheme="minorHAnsi" w:hAnsiTheme="minorHAnsi" w:cs="Arial"/>
              </w:rPr>
              <w:t>a</w:t>
            </w:r>
          </w:p>
          <w:p w14:paraId="124FFDDE" w14:textId="77777777" w:rsidR="00317525" w:rsidRPr="00A13B8C" w:rsidRDefault="00317525" w:rsidP="00032FD9">
            <w:pPr>
              <w:pStyle w:val="ListParagraph"/>
              <w:numPr>
                <w:ilvl w:val="0"/>
                <w:numId w:val="7"/>
              </w:numPr>
              <w:autoSpaceDE w:val="0"/>
              <w:autoSpaceDN w:val="0"/>
              <w:adjustRightInd w:val="0"/>
              <w:spacing w:line="240" w:lineRule="auto"/>
              <w:ind w:left="605" w:hanging="270"/>
              <w:rPr>
                <w:rFonts w:cs="Arial"/>
              </w:rPr>
            </w:pPr>
            <w:r w:rsidRPr="00A13B8C">
              <w:rPr>
                <w:rFonts w:asciiTheme="minorHAnsi" w:hAnsiTheme="minorHAnsi" w:cs="Calibri"/>
              </w:rPr>
              <w:t>reports and white papers</w:t>
            </w:r>
          </w:p>
          <w:p w14:paraId="49E13C2F" w14:textId="7579C643" w:rsidR="00317525" w:rsidRPr="00A13B8C" w:rsidRDefault="00317525" w:rsidP="00032FD9">
            <w:pPr>
              <w:pStyle w:val="ListParagraph"/>
              <w:numPr>
                <w:ilvl w:val="0"/>
                <w:numId w:val="7"/>
              </w:numPr>
              <w:autoSpaceDE w:val="0"/>
              <w:autoSpaceDN w:val="0"/>
              <w:adjustRightInd w:val="0"/>
              <w:spacing w:line="240" w:lineRule="auto"/>
              <w:ind w:left="605" w:hanging="270"/>
              <w:rPr>
                <w:rFonts w:cs="Arial"/>
              </w:rPr>
            </w:pPr>
            <w:r w:rsidRPr="00A13B8C">
              <w:rPr>
                <w:rFonts w:asciiTheme="minorHAnsi" w:hAnsiTheme="minorHAnsi" w:cs="Calibri"/>
              </w:rPr>
              <w:t>meeting minutes documenting evaluation of options and decisions made</w:t>
            </w:r>
          </w:p>
          <w:p w14:paraId="7AB3B5DC" w14:textId="5D2F0848" w:rsidR="002D765F" w:rsidRPr="00A13B8C" w:rsidRDefault="002D765F" w:rsidP="00032FD9">
            <w:pPr>
              <w:pStyle w:val="ListParagraph"/>
              <w:numPr>
                <w:ilvl w:val="0"/>
                <w:numId w:val="7"/>
              </w:numPr>
              <w:autoSpaceDE w:val="0"/>
              <w:autoSpaceDN w:val="0"/>
              <w:adjustRightInd w:val="0"/>
              <w:spacing w:line="240" w:lineRule="auto"/>
              <w:ind w:left="605" w:hanging="270"/>
              <w:rPr>
                <w:rFonts w:cs="Arial"/>
              </w:rPr>
            </w:pPr>
            <w:r w:rsidRPr="00A13B8C">
              <w:rPr>
                <w:rFonts w:asciiTheme="minorHAnsi" w:hAnsiTheme="minorHAnsi" w:cs="Calibri"/>
              </w:rPr>
              <w:t>workplans and timelines</w:t>
            </w:r>
          </w:p>
          <w:p w14:paraId="16E8473C" w14:textId="65CD5C04" w:rsidR="00317525" w:rsidRPr="00A13B8C" w:rsidRDefault="00317525" w:rsidP="00032FD9">
            <w:pPr>
              <w:pStyle w:val="ListParagraph"/>
              <w:numPr>
                <w:ilvl w:val="0"/>
                <w:numId w:val="7"/>
              </w:numPr>
              <w:autoSpaceDE w:val="0"/>
              <w:autoSpaceDN w:val="0"/>
              <w:adjustRightInd w:val="0"/>
              <w:spacing w:line="240" w:lineRule="auto"/>
              <w:ind w:left="605" w:hanging="270"/>
              <w:rPr>
                <w:rFonts w:cs="Arial"/>
              </w:rPr>
            </w:pPr>
            <w:r w:rsidRPr="00A13B8C">
              <w:rPr>
                <w:rFonts w:asciiTheme="minorHAnsi" w:hAnsiTheme="minorHAnsi" w:cs="Calibri"/>
              </w:rPr>
              <w:t>correspondence</w:t>
            </w:r>
          </w:p>
          <w:p w14:paraId="060E37CB" w14:textId="77777777" w:rsidR="00A13B8C" w:rsidRPr="00A13B8C" w:rsidRDefault="00A13B8C" w:rsidP="00B579A5">
            <w:pPr>
              <w:shd w:val="clear" w:color="auto" w:fill="FFFFFF"/>
              <w:autoSpaceDE w:val="0"/>
              <w:autoSpaceDN w:val="0"/>
              <w:adjustRightInd w:val="0"/>
              <w:spacing w:line="240" w:lineRule="auto"/>
              <w:ind w:left="335"/>
              <w:contextualSpacing/>
              <w:rPr>
                <w:rFonts w:eastAsia="Times New Roman"/>
                <w:b/>
                <w:bCs/>
              </w:rPr>
            </w:pPr>
          </w:p>
          <w:p w14:paraId="6A7F1640" w14:textId="67DC1FA0" w:rsidR="00A13B8C" w:rsidRPr="00A13B8C" w:rsidRDefault="00A13B8C" w:rsidP="00B579A5">
            <w:pPr>
              <w:shd w:val="clear" w:color="auto" w:fill="FFFFFF"/>
              <w:autoSpaceDE w:val="0"/>
              <w:autoSpaceDN w:val="0"/>
              <w:adjustRightInd w:val="0"/>
              <w:spacing w:line="240" w:lineRule="auto"/>
              <w:ind w:left="335"/>
              <w:contextualSpacing/>
              <w:rPr>
                <w:rFonts w:eastAsia="Times New Roman"/>
                <w:bCs/>
              </w:rPr>
            </w:pPr>
            <w:r w:rsidRPr="00A13B8C">
              <w:rPr>
                <w:rFonts w:eastAsia="Times New Roman"/>
                <w:b/>
                <w:bCs/>
              </w:rPr>
              <w:t xml:space="preserve">Note:  </w:t>
            </w:r>
            <w:r w:rsidRPr="00A13B8C">
              <w:rPr>
                <w:rFonts w:asciiTheme="minorHAnsi" w:hAnsiTheme="minorHAnsi" w:cstheme="minorHAnsi"/>
              </w:rPr>
              <w:t>GRS 5.2, item 020, covers “</w:t>
            </w:r>
            <w:r w:rsidRPr="00A13B8C">
              <w:rPr>
                <w:rFonts w:asciiTheme="minorHAnsi" w:hAnsiTheme="minorHAnsi"/>
              </w:rPr>
              <w:t>drafts produced…for…internal discussion, reference, or consultation.”</w:t>
            </w:r>
          </w:p>
          <w:p w14:paraId="2885753C" w14:textId="77777777" w:rsidR="00A13B8C" w:rsidRPr="00A13B8C" w:rsidRDefault="00A13B8C" w:rsidP="00B579A5">
            <w:pPr>
              <w:shd w:val="clear" w:color="auto" w:fill="FFFFFF"/>
              <w:autoSpaceDE w:val="0"/>
              <w:autoSpaceDN w:val="0"/>
              <w:adjustRightInd w:val="0"/>
              <w:spacing w:line="240" w:lineRule="auto"/>
              <w:ind w:left="335"/>
              <w:contextualSpacing/>
              <w:rPr>
                <w:rFonts w:eastAsia="Times New Roman"/>
                <w:b/>
                <w:bCs/>
              </w:rPr>
            </w:pPr>
          </w:p>
          <w:p w14:paraId="76D3CE2A" w14:textId="5B0B64A3" w:rsidR="001B0298" w:rsidRPr="001B0298" w:rsidRDefault="00B579A5" w:rsidP="00AF7506">
            <w:pPr>
              <w:shd w:val="clear" w:color="auto" w:fill="FFFFFF"/>
              <w:autoSpaceDE w:val="0"/>
              <w:autoSpaceDN w:val="0"/>
              <w:adjustRightInd w:val="0"/>
              <w:spacing w:line="240" w:lineRule="auto"/>
              <w:ind w:left="335"/>
              <w:contextualSpacing/>
              <w:rPr>
                <w:rFonts w:eastAsia="Times New Roman"/>
                <w:bCs/>
              </w:rPr>
            </w:pPr>
            <w:r w:rsidRPr="00A13B8C">
              <w:rPr>
                <w:rFonts w:eastAsia="Times New Roman"/>
                <w:b/>
                <w:bCs/>
              </w:rPr>
              <w:t>Exclusi</w:t>
            </w:r>
            <w:r>
              <w:rPr>
                <w:rFonts w:eastAsia="Times New Roman"/>
                <w:b/>
                <w:bCs/>
              </w:rPr>
              <w:t>on</w:t>
            </w:r>
            <w:r w:rsidR="001B0298">
              <w:rPr>
                <w:rFonts w:eastAsia="Times New Roman"/>
                <w:b/>
                <w:bCs/>
              </w:rPr>
              <w:t>:</w:t>
            </w:r>
            <w:r w:rsidR="00982AC4">
              <w:rPr>
                <w:rFonts w:eastAsia="Times New Roman"/>
                <w:bCs/>
              </w:rPr>
              <w:t xml:space="preserve">  </w:t>
            </w:r>
            <w:r w:rsidR="00E14E45">
              <w:rPr>
                <w:rFonts w:eastAsia="Times New Roman"/>
                <w:bCs/>
              </w:rPr>
              <w:t>Schedule and retain as part of a docket any r</w:t>
            </w:r>
            <w:r w:rsidR="00982AC4">
              <w:rPr>
                <w:rFonts w:eastAsia="Times New Roman"/>
                <w:bCs/>
              </w:rPr>
              <w:t xml:space="preserve">ecords </w:t>
            </w:r>
            <w:r w:rsidR="00AF7506">
              <w:rPr>
                <w:rFonts w:eastAsia="Times New Roman"/>
                <w:bCs/>
              </w:rPr>
              <w:t xml:space="preserve">this item </w:t>
            </w:r>
            <w:r w:rsidR="00982AC4">
              <w:rPr>
                <w:rFonts w:eastAsia="Times New Roman"/>
                <w:bCs/>
              </w:rPr>
              <w:t>describe</w:t>
            </w:r>
            <w:r w:rsidR="00AF7506">
              <w:rPr>
                <w:rFonts w:eastAsia="Times New Roman"/>
                <w:bCs/>
              </w:rPr>
              <w:t>s</w:t>
            </w:r>
            <w:r w:rsidR="00982AC4">
              <w:rPr>
                <w:rFonts w:eastAsia="Times New Roman"/>
                <w:bCs/>
              </w:rPr>
              <w:t xml:space="preserve"> </w:t>
            </w:r>
            <w:r w:rsidR="00AF7506">
              <w:rPr>
                <w:rFonts w:eastAsia="Times New Roman"/>
                <w:bCs/>
              </w:rPr>
              <w:t xml:space="preserve">that the agency </w:t>
            </w:r>
            <w:r w:rsidR="00982AC4">
              <w:rPr>
                <w:rFonts w:eastAsia="Times New Roman"/>
                <w:bCs/>
              </w:rPr>
              <w:t>incorporate</w:t>
            </w:r>
            <w:r w:rsidR="00AF7506">
              <w:rPr>
                <w:rFonts w:eastAsia="Times New Roman"/>
                <w:bCs/>
              </w:rPr>
              <w:t>s</w:t>
            </w:r>
            <w:r w:rsidR="00982AC4">
              <w:rPr>
                <w:rFonts w:eastAsia="Times New Roman"/>
                <w:bCs/>
              </w:rPr>
              <w:t xml:space="preserve"> into </w:t>
            </w:r>
            <w:r w:rsidR="00E14E45">
              <w:rPr>
                <w:rFonts w:eastAsia="Times New Roman"/>
                <w:bCs/>
              </w:rPr>
              <w:t xml:space="preserve">that </w:t>
            </w:r>
            <w:r w:rsidR="00982AC4">
              <w:rPr>
                <w:rFonts w:eastAsia="Times New Roman"/>
                <w:bCs/>
              </w:rPr>
              <w:t>docket.</w:t>
            </w:r>
          </w:p>
        </w:tc>
        <w:tc>
          <w:tcPr>
            <w:tcW w:w="2790" w:type="dxa"/>
          </w:tcPr>
          <w:p w14:paraId="369923C9" w14:textId="0CE4F3EC" w:rsidR="001B0298" w:rsidRPr="00601818" w:rsidRDefault="001B0298" w:rsidP="00142576">
            <w:pPr>
              <w:spacing w:line="240" w:lineRule="auto"/>
              <w:rPr>
                <w:rFonts w:cs="Arial"/>
                <w:b/>
              </w:rPr>
            </w:pPr>
            <w:r w:rsidRPr="00601818">
              <w:rPr>
                <w:rFonts w:cs="Arial"/>
                <w:b/>
              </w:rPr>
              <w:lastRenderedPageBreak/>
              <w:t>Temporary</w:t>
            </w:r>
            <w:r w:rsidRPr="00601818">
              <w:rPr>
                <w:rFonts w:cs="Arial"/>
              </w:rPr>
              <w:t>.</w:t>
            </w:r>
            <w:r>
              <w:rPr>
                <w:rFonts w:cs="Arial"/>
              </w:rPr>
              <w:t xml:space="preserve">  </w:t>
            </w:r>
            <w:r w:rsidRPr="00601818">
              <w:rPr>
                <w:rFonts w:cs="Arial"/>
                <w:color w:val="000000"/>
              </w:rPr>
              <w:t xml:space="preserve">Destroy </w:t>
            </w:r>
            <w:r w:rsidR="00142576">
              <w:rPr>
                <w:rFonts w:cs="Arial"/>
                <w:color w:val="000000"/>
              </w:rPr>
              <w:t>6</w:t>
            </w:r>
            <w:r w:rsidRPr="001B0298">
              <w:rPr>
                <w:rFonts w:cs="Arial"/>
                <w:color w:val="000000"/>
              </w:rPr>
              <w:t xml:space="preserve"> years</w:t>
            </w:r>
            <w:r>
              <w:rPr>
                <w:rFonts w:cs="Arial"/>
                <w:color w:val="000000"/>
              </w:rPr>
              <w:t xml:space="preserve"> after publication of final rule or decision to abandon publication, but </w:t>
            </w:r>
            <w:r w:rsidRPr="00601818">
              <w:rPr>
                <w:rFonts w:cs="Arial"/>
                <w:color w:val="000000"/>
              </w:rPr>
              <w:t xml:space="preserve">longer retention is authorized if required for business use. </w:t>
            </w:r>
          </w:p>
        </w:tc>
        <w:tc>
          <w:tcPr>
            <w:tcW w:w="1440" w:type="dxa"/>
          </w:tcPr>
          <w:p w14:paraId="2BFE99AE" w14:textId="4C184228" w:rsidR="001B0298" w:rsidRDefault="001B0298" w:rsidP="00142576">
            <w:pPr>
              <w:spacing w:line="240" w:lineRule="auto"/>
              <w:rPr>
                <w:rFonts w:cs="Arial"/>
              </w:rPr>
            </w:pPr>
            <w:r>
              <w:rPr>
                <w:rFonts w:cs="Arial"/>
              </w:rPr>
              <w:t>DAA-GRS-2017</w:t>
            </w:r>
            <w:r w:rsidRPr="00601818">
              <w:rPr>
                <w:rFonts w:cs="Arial"/>
              </w:rPr>
              <w:t>-00</w:t>
            </w:r>
            <w:r w:rsidR="00142576">
              <w:rPr>
                <w:rFonts w:cs="Arial"/>
              </w:rPr>
              <w:t>12</w:t>
            </w:r>
            <w:r w:rsidRPr="00601818">
              <w:rPr>
                <w:rFonts w:cs="Arial"/>
              </w:rPr>
              <w:t>-000</w:t>
            </w:r>
            <w:r>
              <w:rPr>
                <w:rFonts w:cs="Arial"/>
              </w:rPr>
              <w:t>1</w:t>
            </w:r>
          </w:p>
        </w:tc>
      </w:tr>
      <w:tr w:rsidR="007D1251" w:rsidRPr="00601818" w14:paraId="1914429B" w14:textId="77777777" w:rsidTr="00C25A8B">
        <w:tc>
          <w:tcPr>
            <w:tcW w:w="720" w:type="dxa"/>
          </w:tcPr>
          <w:p w14:paraId="61A1F3C9" w14:textId="21CADD28" w:rsidR="007D1251" w:rsidRDefault="007D1251" w:rsidP="007D1251">
            <w:pPr>
              <w:spacing w:line="240" w:lineRule="auto"/>
              <w:jc w:val="center"/>
              <w:rPr>
                <w:rFonts w:cs="Arial"/>
              </w:rPr>
            </w:pPr>
            <w:r>
              <w:rPr>
                <w:rFonts w:cs="Arial"/>
              </w:rPr>
              <w:t>020</w:t>
            </w:r>
          </w:p>
        </w:tc>
        <w:tc>
          <w:tcPr>
            <w:tcW w:w="9000" w:type="dxa"/>
          </w:tcPr>
          <w:p w14:paraId="7F7EF51F" w14:textId="5D1D1653" w:rsidR="00F7623D" w:rsidRDefault="00A61986" w:rsidP="007D1251">
            <w:pPr>
              <w:autoSpaceDE w:val="0"/>
              <w:autoSpaceDN w:val="0"/>
              <w:adjustRightInd w:val="0"/>
              <w:spacing w:line="240" w:lineRule="auto"/>
              <w:contextualSpacing/>
              <w:rPr>
                <w:b/>
                <w:color w:val="000000"/>
              </w:rPr>
            </w:pPr>
            <w:r>
              <w:rPr>
                <w:b/>
                <w:color w:val="000000"/>
              </w:rPr>
              <w:t>Proposed and final rule documents</w:t>
            </w:r>
            <w:r w:rsidR="0070742D">
              <w:rPr>
                <w:b/>
                <w:color w:val="000000"/>
              </w:rPr>
              <w:t xml:space="preserve"> published in the </w:t>
            </w:r>
            <w:r w:rsidR="0009442A" w:rsidRPr="00B36A12">
              <w:rPr>
                <w:b/>
                <w:i/>
                <w:color w:val="000000"/>
              </w:rPr>
              <w:t>Federal Register</w:t>
            </w:r>
            <w:r w:rsidR="00F7623D">
              <w:rPr>
                <w:b/>
                <w:color w:val="000000"/>
              </w:rPr>
              <w:t>.</w:t>
            </w:r>
          </w:p>
          <w:p w14:paraId="509560C3" w14:textId="7FEBC932" w:rsidR="00A36CED" w:rsidRDefault="00A36CED" w:rsidP="001B0298">
            <w:pPr>
              <w:widowControl w:val="0"/>
              <w:autoSpaceDE w:val="0"/>
              <w:autoSpaceDN w:val="0"/>
              <w:adjustRightInd w:val="0"/>
              <w:spacing w:line="240" w:lineRule="auto"/>
              <w:ind w:left="331"/>
              <w:contextualSpacing/>
              <w:rPr>
                <w:rStyle w:val="tgc"/>
              </w:rPr>
            </w:pPr>
            <w:r>
              <w:rPr>
                <w:rStyle w:val="tgc"/>
              </w:rPr>
              <w:t>Agency cop</w:t>
            </w:r>
            <w:r w:rsidR="009A2DE6">
              <w:rPr>
                <w:rStyle w:val="tgc"/>
              </w:rPr>
              <w:t>y</w:t>
            </w:r>
            <w:r>
              <w:rPr>
                <w:rStyle w:val="tgc"/>
              </w:rPr>
              <w:t xml:space="preserve"> of rule forwarded to the </w:t>
            </w:r>
            <w:r w:rsidRPr="00B36A12">
              <w:rPr>
                <w:rStyle w:val="tgc"/>
                <w:i/>
              </w:rPr>
              <w:t>Federal Register</w:t>
            </w:r>
            <w:r>
              <w:rPr>
                <w:rStyle w:val="tgc"/>
              </w:rPr>
              <w:t xml:space="preserve"> for publication, copy of </w:t>
            </w:r>
            <w:r w:rsidR="004D20A5">
              <w:rPr>
                <w:rStyle w:val="tgc"/>
              </w:rPr>
              <w:t xml:space="preserve">published </w:t>
            </w:r>
            <w:r>
              <w:rPr>
                <w:rStyle w:val="tgc"/>
              </w:rPr>
              <w:t>notice</w:t>
            </w:r>
            <w:r w:rsidR="004D20A5">
              <w:rPr>
                <w:rStyle w:val="tgc"/>
              </w:rPr>
              <w:t>,</w:t>
            </w:r>
            <w:r>
              <w:rPr>
                <w:rStyle w:val="tgc"/>
              </w:rPr>
              <w:t xml:space="preserve"> </w:t>
            </w:r>
            <w:r w:rsidR="004D20A5">
              <w:rPr>
                <w:rStyle w:val="tgc"/>
              </w:rPr>
              <w:t xml:space="preserve">and </w:t>
            </w:r>
            <w:r w:rsidR="004D20A5">
              <w:rPr>
                <w:rFonts w:cs="Arial"/>
              </w:rPr>
              <w:t>correspondence with the Office of the Federal Register generated at these rulemaking process mile</w:t>
            </w:r>
            <w:r w:rsidR="008E7105">
              <w:rPr>
                <w:rFonts w:cs="Arial"/>
              </w:rPr>
              <w:t>stone</w:t>
            </w:r>
            <w:r w:rsidR="004D20A5">
              <w:rPr>
                <w:rFonts w:cs="Arial"/>
              </w:rPr>
              <w:t>s:</w:t>
            </w:r>
          </w:p>
          <w:p w14:paraId="693E7229" w14:textId="6A4AAA97" w:rsidR="00D6296D" w:rsidRPr="000C4F52" w:rsidRDefault="00D6296D" w:rsidP="001B0298">
            <w:pPr>
              <w:pStyle w:val="ListParagraph"/>
              <w:widowControl w:val="0"/>
              <w:numPr>
                <w:ilvl w:val="0"/>
                <w:numId w:val="8"/>
              </w:numPr>
              <w:tabs>
                <w:tab w:val="left" w:pos="605"/>
              </w:tabs>
              <w:autoSpaceDE w:val="0"/>
              <w:autoSpaceDN w:val="0"/>
              <w:adjustRightInd w:val="0"/>
              <w:spacing w:line="240" w:lineRule="auto"/>
              <w:ind w:left="785" w:hanging="450"/>
              <w:rPr>
                <w:rStyle w:val="tgc"/>
                <w:color w:val="000000"/>
              </w:rPr>
            </w:pPr>
            <w:r w:rsidRPr="000C4F52">
              <w:rPr>
                <w:rStyle w:val="tgc"/>
              </w:rPr>
              <w:t>advance notice of proposed rulemaking (A</w:t>
            </w:r>
            <w:r w:rsidRPr="000C4F52">
              <w:rPr>
                <w:rStyle w:val="tgc"/>
                <w:bCs/>
              </w:rPr>
              <w:t>NPRM</w:t>
            </w:r>
            <w:r w:rsidRPr="000C4F52">
              <w:rPr>
                <w:rStyle w:val="tgc"/>
              </w:rPr>
              <w:t xml:space="preserve">) </w:t>
            </w:r>
            <w:r w:rsidR="000C4F52">
              <w:rPr>
                <w:rStyle w:val="tgc"/>
              </w:rPr>
              <w:t xml:space="preserve">or notice of inquiry (NOI) </w:t>
            </w:r>
            <w:r w:rsidR="00743F52" w:rsidRPr="000C4F52">
              <w:rPr>
                <w:rStyle w:val="tgc"/>
              </w:rPr>
              <w:t>inviting participation to help shape a rule still in development</w:t>
            </w:r>
          </w:p>
          <w:p w14:paraId="1F46E568" w14:textId="58A29B78" w:rsidR="00A36CED" w:rsidRPr="003E4A43" w:rsidRDefault="004047C6" w:rsidP="001B0298">
            <w:pPr>
              <w:pStyle w:val="ListParagraph"/>
              <w:widowControl w:val="0"/>
              <w:numPr>
                <w:ilvl w:val="0"/>
                <w:numId w:val="8"/>
              </w:numPr>
              <w:tabs>
                <w:tab w:val="left" w:pos="605"/>
              </w:tabs>
              <w:autoSpaceDE w:val="0"/>
              <w:autoSpaceDN w:val="0"/>
              <w:adjustRightInd w:val="0"/>
              <w:spacing w:line="240" w:lineRule="auto"/>
              <w:ind w:left="785" w:hanging="450"/>
              <w:rPr>
                <w:color w:val="000000"/>
              </w:rPr>
            </w:pPr>
            <w:r w:rsidRPr="000C4F52">
              <w:rPr>
                <w:rStyle w:val="tgc"/>
              </w:rPr>
              <w:t>notice of proposed rulemaking (</w:t>
            </w:r>
            <w:r w:rsidRPr="000C4F52">
              <w:rPr>
                <w:rStyle w:val="tgc"/>
                <w:bCs/>
              </w:rPr>
              <w:t>NPRM</w:t>
            </w:r>
            <w:r w:rsidRPr="000C4F52">
              <w:rPr>
                <w:rStyle w:val="tgc"/>
              </w:rPr>
              <w:t xml:space="preserve">) to </w:t>
            </w:r>
            <w:r w:rsidRPr="003E4A43">
              <w:rPr>
                <w:rStyle w:val="tgc"/>
              </w:rPr>
              <w:t>add</w:t>
            </w:r>
            <w:r w:rsidR="00A36CED" w:rsidRPr="003E4A43">
              <w:rPr>
                <w:rStyle w:val="tgc"/>
              </w:rPr>
              <w:t xml:space="preserve"> </w:t>
            </w:r>
            <w:r w:rsidR="003E4A43" w:rsidRPr="003E4A43">
              <w:rPr>
                <w:rStyle w:val="tgc"/>
              </w:rPr>
              <w:t>a new rule or to amend or repeal an existing rule</w:t>
            </w:r>
            <w:r w:rsidRPr="003E4A43">
              <w:rPr>
                <w:color w:val="000000"/>
              </w:rPr>
              <w:t xml:space="preserve"> </w:t>
            </w:r>
          </w:p>
          <w:p w14:paraId="44AD2D7C" w14:textId="456A69DF" w:rsidR="00A36CED" w:rsidRPr="002E795F" w:rsidRDefault="000C4F52" w:rsidP="001B0298">
            <w:pPr>
              <w:pStyle w:val="ListParagraph"/>
              <w:widowControl w:val="0"/>
              <w:numPr>
                <w:ilvl w:val="0"/>
                <w:numId w:val="8"/>
              </w:numPr>
              <w:tabs>
                <w:tab w:val="left" w:pos="605"/>
              </w:tabs>
              <w:autoSpaceDE w:val="0"/>
              <w:autoSpaceDN w:val="0"/>
              <w:adjustRightInd w:val="0"/>
              <w:spacing w:line="240" w:lineRule="auto"/>
              <w:ind w:left="785" w:hanging="450"/>
              <w:rPr>
                <w:color w:val="000000"/>
              </w:rPr>
            </w:pPr>
            <w:r>
              <w:rPr>
                <w:rFonts w:asciiTheme="minorHAnsi" w:hAnsiTheme="minorHAnsi"/>
              </w:rPr>
              <w:t>s</w:t>
            </w:r>
            <w:r w:rsidRPr="000C4F52">
              <w:rPr>
                <w:rFonts w:asciiTheme="minorHAnsi" w:hAnsiTheme="minorHAnsi"/>
              </w:rPr>
              <w:t xml:space="preserve">upplemental </w:t>
            </w:r>
            <w:r>
              <w:rPr>
                <w:rFonts w:asciiTheme="minorHAnsi" w:hAnsiTheme="minorHAnsi"/>
              </w:rPr>
              <w:t>n</w:t>
            </w:r>
            <w:r w:rsidRPr="000C4F52">
              <w:rPr>
                <w:rFonts w:asciiTheme="minorHAnsi" w:hAnsiTheme="minorHAnsi"/>
              </w:rPr>
              <w:t xml:space="preserve">otice of </w:t>
            </w:r>
            <w:r>
              <w:rPr>
                <w:rFonts w:asciiTheme="minorHAnsi" w:hAnsiTheme="minorHAnsi"/>
              </w:rPr>
              <w:t>p</w:t>
            </w:r>
            <w:r w:rsidRPr="000C4F52">
              <w:rPr>
                <w:rFonts w:asciiTheme="minorHAnsi" w:hAnsiTheme="minorHAnsi"/>
              </w:rPr>
              <w:t xml:space="preserve">roposed </w:t>
            </w:r>
            <w:r>
              <w:rPr>
                <w:rFonts w:asciiTheme="minorHAnsi" w:hAnsiTheme="minorHAnsi"/>
              </w:rPr>
              <w:t>r</w:t>
            </w:r>
            <w:r w:rsidRPr="000C4F52">
              <w:rPr>
                <w:rFonts w:asciiTheme="minorHAnsi" w:hAnsiTheme="minorHAnsi"/>
              </w:rPr>
              <w:t xml:space="preserve">ulemaking (SNPRM) or </w:t>
            </w:r>
            <w:r w:rsidR="00A36CED" w:rsidRPr="000C4F52">
              <w:rPr>
                <w:bCs/>
              </w:rPr>
              <w:t>further notice of proposed rulemaking</w:t>
            </w:r>
            <w:r w:rsidR="00A36CED" w:rsidRPr="000C4F52">
              <w:t xml:space="preserve"> (</w:t>
            </w:r>
            <w:r w:rsidR="00A36CED" w:rsidRPr="000C4F52">
              <w:rPr>
                <w:bCs/>
              </w:rPr>
              <w:t>FNPRM</w:t>
            </w:r>
            <w:r w:rsidR="00A36CED" w:rsidRPr="000C4F52">
              <w:t>), soliciting comment on a propose</w:t>
            </w:r>
            <w:r w:rsidR="00A36CED">
              <w:t>d rule significantly altered in response to comments received in response to the NPRM</w:t>
            </w:r>
          </w:p>
          <w:p w14:paraId="4DB51B77" w14:textId="5931DF07" w:rsidR="002E795F" w:rsidRPr="00A36CED" w:rsidRDefault="002E795F" w:rsidP="001B0298">
            <w:pPr>
              <w:pStyle w:val="ListParagraph"/>
              <w:widowControl w:val="0"/>
              <w:numPr>
                <w:ilvl w:val="0"/>
                <w:numId w:val="8"/>
              </w:numPr>
              <w:tabs>
                <w:tab w:val="left" w:pos="605"/>
              </w:tabs>
              <w:autoSpaceDE w:val="0"/>
              <w:autoSpaceDN w:val="0"/>
              <w:adjustRightInd w:val="0"/>
              <w:spacing w:line="240" w:lineRule="auto"/>
              <w:ind w:left="785" w:hanging="450"/>
              <w:rPr>
                <w:color w:val="000000"/>
              </w:rPr>
            </w:pPr>
            <w:r>
              <w:t>notice responding to summarized comments</w:t>
            </w:r>
          </w:p>
          <w:p w14:paraId="1D1242B5" w14:textId="7FAB0958" w:rsidR="007D1251" w:rsidRPr="00A36CED" w:rsidRDefault="004D20A5" w:rsidP="00A61986">
            <w:pPr>
              <w:pStyle w:val="ListParagraph"/>
              <w:widowControl w:val="0"/>
              <w:numPr>
                <w:ilvl w:val="0"/>
                <w:numId w:val="8"/>
              </w:numPr>
              <w:tabs>
                <w:tab w:val="left" w:pos="605"/>
              </w:tabs>
              <w:autoSpaceDE w:val="0"/>
              <w:autoSpaceDN w:val="0"/>
              <w:adjustRightInd w:val="0"/>
              <w:spacing w:line="240" w:lineRule="auto"/>
              <w:ind w:left="785" w:hanging="450"/>
              <w:rPr>
                <w:color w:val="000000"/>
              </w:rPr>
            </w:pPr>
            <w:r>
              <w:rPr>
                <w:color w:val="000000"/>
              </w:rPr>
              <w:t>final rule</w:t>
            </w:r>
            <w:r w:rsidR="00A61986">
              <w:rPr>
                <w:color w:val="000000"/>
              </w:rPr>
              <w:t>, interim final rule, or direct final rule</w:t>
            </w:r>
          </w:p>
        </w:tc>
        <w:tc>
          <w:tcPr>
            <w:tcW w:w="2790" w:type="dxa"/>
          </w:tcPr>
          <w:p w14:paraId="6095E7AD" w14:textId="661000AD" w:rsidR="007D1251" w:rsidRPr="00601818" w:rsidRDefault="007D1251" w:rsidP="001B0298">
            <w:pPr>
              <w:widowControl w:val="0"/>
              <w:spacing w:line="240" w:lineRule="auto"/>
              <w:rPr>
                <w:rFonts w:cs="Arial"/>
                <w:b/>
              </w:rPr>
            </w:pPr>
            <w:r w:rsidRPr="00601818">
              <w:rPr>
                <w:rFonts w:cs="Arial"/>
                <w:b/>
              </w:rPr>
              <w:t>Temporary.</w:t>
            </w:r>
            <w:r>
              <w:rPr>
                <w:rFonts w:cs="Arial"/>
              </w:rPr>
              <w:t xml:space="preserve">  </w:t>
            </w:r>
            <w:r w:rsidRPr="00601818">
              <w:rPr>
                <w:rFonts w:cs="Arial"/>
                <w:color w:val="000000"/>
              </w:rPr>
              <w:t xml:space="preserve">Destroy </w:t>
            </w:r>
            <w:r w:rsidR="008E7105">
              <w:rPr>
                <w:rFonts w:cs="Arial"/>
                <w:color w:val="000000"/>
              </w:rPr>
              <w:t>1 year after publication</w:t>
            </w:r>
            <w:r w:rsidR="00001742">
              <w:rPr>
                <w:rFonts w:cs="Arial"/>
                <w:color w:val="000000"/>
              </w:rPr>
              <w:t>,</w:t>
            </w:r>
            <w:r>
              <w:rPr>
                <w:rFonts w:cs="Arial"/>
                <w:color w:val="000000"/>
              </w:rPr>
              <w:t xml:space="preserve"> but </w:t>
            </w:r>
            <w:r w:rsidRPr="00601818">
              <w:rPr>
                <w:rFonts w:cs="Arial"/>
                <w:color w:val="000000"/>
              </w:rPr>
              <w:t>longer retention is authorized if required for business use.</w:t>
            </w:r>
          </w:p>
        </w:tc>
        <w:tc>
          <w:tcPr>
            <w:tcW w:w="1440" w:type="dxa"/>
          </w:tcPr>
          <w:p w14:paraId="71E5D473" w14:textId="681017CB" w:rsidR="007D1251" w:rsidRDefault="007D1251" w:rsidP="00142576">
            <w:pPr>
              <w:spacing w:line="240" w:lineRule="auto"/>
              <w:rPr>
                <w:rFonts w:cs="Arial"/>
              </w:rPr>
            </w:pPr>
            <w:r>
              <w:rPr>
                <w:rFonts w:cs="Arial"/>
              </w:rPr>
              <w:t>DAA-GRS-2017</w:t>
            </w:r>
            <w:r w:rsidRPr="00601818">
              <w:rPr>
                <w:rFonts w:cs="Arial"/>
              </w:rPr>
              <w:t>-00</w:t>
            </w:r>
            <w:r w:rsidR="00142576">
              <w:rPr>
                <w:rFonts w:cs="Arial"/>
              </w:rPr>
              <w:t>12</w:t>
            </w:r>
            <w:r w:rsidRPr="00601818">
              <w:rPr>
                <w:rFonts w:cs="Arial"/>
              </w:rPr>
              <w:t>-000</w:t>
            </w:r>
            <w:r w:rsidR="001B0298">
              <w:rPr>
                <w:rFonts w:cs="Arial"/>
              </w:rPr>
              <w:t>2</w:t>
            </w:r>
          </w:p>
        </w:tc>
      </w:tr>
      <w:tr w:rsidR="002E795F" w:rsidRPr="00601818" w14:paraId="264AE921" w14:textId="77777777" w:rsidTr="00C25A8B">
        <w:trPr>
          <w:trHeight w:val="577"/>
        </w:trPr>
        <w:tc>
          <w:tcPr>
            <w:tcW w:w="720" w:type="dxa"/>
          </w:tcPr>
          <w:p w14:paraId="02012145" w14:textId="2F59ED23" w:rsidR="002E795F" w:rsidRDefault="002E795F" w:rsidP="002E795F">
            <w:pPr>
              <w:spacing w:line="240" w:lineRule="auto"/>
              <w:jc w:val="center"/>
              <w:rPr>
                <w:rFonts w:cs="Arial"/>
              </w:rPr>
            </w:pPr>
            <w:r w:rsidRPr="00601818">
              <w:rPr>
                <w:rFonts w:cs="Arial"/>
              </w:rPr>
              <w:t>030</w:t>
            </w:r>
          </w:p>
        </w:tc>
        <w:tc>
          <w:tcPr>
            <w:tcW w:w="9000" w:type="dxa"/>
          </w:tcPr>
          <w:p w14:paraId="7D4EF8E1" w14:textId="77777777" w:rsidR="002E795F" w:rsidRDefault="002E795F" w:rsidP="00703508">
            <w:pPr>
              <w:autoSpaceDE w:val="0"/>
              <w:autoSpaceDN w:val="0"/>
              <w:adjustRightInd w:val="0"/>
              <w:spacing w:line="240" w:lineRule="auto"/>
              <w:contextualSpacing/>
              <w:rPr>
                <w:b/>
                <w:color w:val="000000"/>
              </w:rPr>
            </w:pPr>
            <w:r>
              <w:rPr>
                <w:b/>
                <w:color w:val="000000"/>
              </w:rPr>
              <w:t>Public comments</w:t>
            </w:r>
            <w:r w:rsidRPr="00601818">
              <w:rPr>
                <w:b/>
                <w:color w:val="000000"/>
              </w:rPr>
              <w:t xml:space="preserve">. </w:t>
            </w:r>
          </w:p>
          <w:p w14:paraId="214CAF3B" w14:textId="3DF969ED" w:rsidR="002E795F" w:rsidRDefault="002E795F" w:rsidP="00BA509F">
            <w:pPr>
              <w:autoSpaceDE w:val="0"/>
              <w:autoSpaceDN w:val="0"/>
              <w:adjustRightInd w:val="0"/>
              <w:spacing w:line="240" w:lineRule="auto"/>
              <w:ind w:left="331"/>
              <w:contextualSpacing/>
              <w:rPr>
                <w:color w:val="000000"/>
              </w:rPr>
            </w:pPr>
            <w:r w:rsidRPr="007921D2">
              <w:rPr>
                <w:color w:val="000000"/>
              </w:rPr>
              <w:t xml:space="preserve">Public comments </w:t>
            </w:r>
            <w:r w:rsidR="00E02B99">
              <w:rPr>
                <w:color w:val="000000"/>
              </w:rPr>
              <w:t xml:space="preserve">agency </w:t>
            </w:r>
            <w:r>
              <w:rPr>
                <w:color w:val="000000"/>
              </w:rPr>
              <w:t>receive</w:t>
            </w:r>
            <w:r w:rsidR="00E02B99">
              <w:rPr>
                <w:color w:val="000000"/>
              </w:rPr>
              <w:t>s</w:t>
            </w:r>
            <w:r>
              <w:rPr>
                <w:color w:val="000000"/>
              </w:rPr>
              <w:t xml:space="preserve"> </w:t>
            </w:r>
            <w:r w:rsidRPr="007921D2">
              <w:rPr>
                <w:color w:val="000000"/>
              </w:rPr>
              <w:t>in response to a proposed rule</w:t>
            </w:r>
            <w:r>
              <w:rPr>
                <w:color w:val="000000"/>
              </w:rPr>
              <w:t xml:space="preserve">, provided that </w:t>
            </w:r>
            <w:r w:rsidR="00E02B99">
              <w:rPr>
                <w:color w:val="000000"/>
              </w:rPr>
              <w:t xml:space="preserve">agency retains </w:t>
            </w:r>
            <w:r>
              <w:rPr>
                <w:color w:val="000000"/>
              </w:rPr>
              <w:t>a summary of those comments with the rule</w:t>
            </w:r>
            <w:r w:rsidR="007C0E05">
              <w:rPr>
                <w:color w:val="000000"/>
              </w:rPr>
              <w:t>making</w:t>
            </w:r>
            <w:r>
              <w:rPr>
                <w:color w:val="000000"/>
              </w:rPr>
              <w:t xml:space="preserve"> docket</w:t>
            </w:r>
            <w:r w:rsidR="007C0E05">
              <w:rPr>
                <w:color w:val="000000"/>
              </w:rPr>
              <w:t xml:space="preserve"> in a docket management system</w:t>
            </w:r>
            <w:r w:rsidRPr="00601818">
              <w:rPr>
                <w:color w:val="000000"/>
              </w:rPr>
              <w:t>.</w:t>
            </w:r>
          </w:p>
          <w:p w14:paraId="4151C32F" w14:textId="77777777" w:rsidR="00C25A8B" w:rsidRPr="00601818" w:rsidRDefault="00C25A8B" w:rsidP="00BA509F">
            <w:pPr>
              <w:autoSpaceDE w:val="0"/>
              <w:autoSpaceDN w:val="0"/>
              <w:adjustRightInd w:val="0"/>
              <w:spacing w:line="240" w:lineRule="auto"/>
              <w:ind w:left="331"/>
              <w:contextualSpacing/>
              <w:rPr>
                <w:color w:val="000000"/>
              </w:rPr>
            </w:pPr>
          </w:p>
          <w:p w14:paraId="0065FB09" w14:textId="0817ECCC" w:rsidR="002E795F" w:rsidRDefault="002E795F" w:rsidP="00E02B99">
            <w:pPr>
              <w:autoSpaceDE w:val="0"/>
              <w:autoSpaceDN w:val="0"/>
              <w:adjustRightInd w:val="0"/>
              <w:spacing w:line="240" w:lineRule="auto"/>
              <w:ind w:left="335"/>
              <w:contextualSpacing/>
              <w:rPr>
                <w:b/>
                <w:color w:val="000000"/>
              </w:rPr>
            </w:pPr>
            <w:r w:rsidRPr="00601818">
              <w:rPr>
                <w:b/>
                <w:color w:val="000000"/>
              </w:rPr>
              <w:t>Exclusion</w:t>
            </w:r>
            <w:r w:rsidRPr="00601818">
              <w:rPr>
                <w:color w:val="000000"/>
              </w:rPr>
              <w:t xml:space="preserve">: </w:t>
            </w:r>
            <w:r>
              <w:rPr>
                <w:color w:val="000000"/>
              </w:rPr>
              <w:t xml:space="preserve">If </w:t>
            </w:r>
            <w:r w:rsidR="00E02B99">
              <w:rPr>
                <w:color w:val="000000"/>
              </w:rPr>
              <w:t xml:space="preserve">the agency does </w:t>
            </w:r>
            <w:r>
              <w:rPr>
                <w:color w:val="000000"/>
              </w:rPr>
              <w:t>no</w:t>
            </w:r>
            <w:r w:rsidR="00E02B99">
              <w:rPr>
                <w:color w:val="000000"/>
              </w:rPr>
              <w:t>t create a</w:t>
            </w:r>
            <w:r>
              <w:rPr>
                <w:color w:val="000000"/>
              </w:rPr>
              <w:t xml:space="preserve"> summary of comments, </w:t>
            </w:r>
            <w:r w:rsidR="00E02B99">
              <w:rPr>
                <w:color w:val="000000"/>
              </w:rPr>
              <w:t xml:space="preserve">it must schedule </w:t>
            </w:r>
            <w:r>
              <w:rPr>
                <w:color w:val="000000"/>
              </w:rPr>
              <w:t xml:space="preserve">individual comments as part of the final rule </w:t>
            </w:r>
            <w:r w:rsidR="00BF732D">
              <w:rPr>
                <w:color w:val="000000"/>
              </w:rPr>
              <w:t xml:space="preserve">case file or </w:t>
            </w:r>
            <w:r>
              <w:rPr>
                <w:color w:val="000000"/>
              </w:rPr>
              <w:t>docket</w:t>
            </w:r>
            <w:r w:rsidRPr="00601818">
              <w:rPr>
                <w:rFonts w:eastAsia="Times New Roman"/>
              </w:rPr>
              <w:t>.</w:t>
            </w:r>
          </w:p>
        </w:tc>
        <w:tc>
          <w:tcPr>
            <w:tcW w:w="2790" w:type="dxa"/>
          </w:tcPr>
          <w:p w14:paraId="635C26C4" w14:textId="7F3906BA" w:rsidR="002E795F" w:rsidRPr="00BA509F" w:rsidRDefault="002E795F" w:rsidP="007C0E05">
            <w:pPr>
              <w:tabs>
                <w:tab w:val="left" w:pos="5743"/>
              </w:tabs>
              <w:spacing w:line="240" w:lineRule="auto"/>
              <w:contextualSpacing/>
              <w:rPr>
                <w:rFonts w:cs="Arial"/>
              </w:rPr>
            </w:pPr>
            <w:r w:rsidRPr="00601818">
              <w:rPr>
                <w:rFonts w:cs="Arial"/>
                <w:b/>
              </w:rPr>
              <w:t>Temporary</w:t>
            </w:r>
            <w:r w:rsidRPr="00601818">
              <w:rPr>
                <w:rFonts w:cs="Arial"/>
              </w:rPr>
              <w:t>.</w:t>
            </w:r>
            <w:r>
              <w:rPr>
                <w:rFonts w:cs="Arial"/>
              </w:rPr>
              <w:t xml:space="preserve">  </w:t>
            </w:r>
            <w:r w:rsidRPr="00601818">
              <w:rPr>
                <w:rFonts w:cs="Arial"/>
                <w:color w:val="000000"/>
              </w:rPr>
              <w:t xml:space="preserve">Destroy </w:t>
            </w:r>
            <w:r w:rsidR="007C0E05" w:rsidRPr="007C0E05">
              <w:rPr>
                <w:rFonts w:cs="Arial"/>
                <w:color w:val="000000"/>
              </w:rPr>
              <w:t>1</w:t>
            </w:r>
            <w:r w:rsidRPr="007C0E05">
              <w:rPr>
                <w:rFonts w:cs="Arial"/>
                <w:color w:val="000000"/>
              </w:rPr>
              <w:t xml:space="preserve"> year</w:t>
            </w:r>
            <w:r>
              <w:rPr>
                <w:rFonts w:cs="Arial"/>
                <w:color w:val="000000"/>
              </w:rPr>
              <w:t xml:space="preserve"> after publication of final rule or decision to abandon publication, but </w:t>
            </w:r>
            <w:r w:rsidRPr="00601818">
              <w:rPr>
                <w:rFonts w:cs="Arial"/>
                <w:color w:val="000000"/>
              </w:rPr>
              <w:t>longer retention is authorized if required for business use.</w:t>
            </w:r>
          </w:p>
        </w:tc>
        <w:tc>
          <w:tcPr>
            <w:tcW w:w="1440" w:type="dxa"/>
          </w:tcPr>
          <w:p w14:paraId="61481B44" w14:textId="22A26C40" w:rsidR="002E795F" w:rsidRDefault="002E795F" w:rsidP="00142576">
            <w:pPr>
              <w:spacing w:line="240" w:lineRule="auto"/>
              <w:rPr>
                <w:rFonts w:cs="Arial"/>
              </w:rPr>
            </w:pPr>
            <w:r>
              <w:rPr>
                <w:rFonts w:cs="Arial"/>
              </w:rPr>
              <w:t>DAA-GRS-2017</w:t>
            </w:r>
            <w:r w:rsidRPr="00601818">
              <w:rPr>
                <w:rFonts w:cs="Arial"/>
              </w:rPr>
              <w:t>-00</w:t>
            </w:r>
            <w:r w:rsidR="00142576">
              <w:rPr>
                <w:rFonts w:cs="Arial"/>
              </w:rPr>
              <w:t>12</w:t>
            </w:r>
            <w:r w:rsidRPr="00601818">
              <w:rPr>
                <w:rFonts w:cs="Arial"/>
              </w:rPr>
              <w:t>-000</w:t>
            </w:r>
            <w:r>
              <w:rPr>
                <w:rFonts w:cs="Arial"/>
              </w:rPr>
              <w:t>3</w:t>
            </w:r>
          </w:p>
        </w:tc>
      </w:tr>
      <w:tr w:rsidR="00251BA4" w14:paraId="0C095BD2" w14:textId="77777777" w:rsidTr="00C25A8B">
        <w:tc>
          <w:tcPr>
            <w:tcW w:w="720" w:type="dxa"/>
          </w:tcPr>
          <w:p w14:paraId="434CD681" w14:textId="0C4CD2C2" w:rsidR="00251BA4" w:rsidRDefault="00CA4D1B" w:rsidP="00407B64">
            <w:pPr>
              <w:spacing w:line="240" w:lineRule="auto"/>
              <w:jc w:val="center"/>
              <w:rPr>
                <w:rFonts w:cs="Arial"/>
              </w:rPr>
            </w:pPr>
            <w:r>
              <w:rPr>
                <w:rFonts w:cs="Arial"/>
              </w:rPr>
              <w:lastRenderedPageBreak/>
              <w:t>0</w:t>
            </w:r>
            <w:r w:rsidR="00407B64">
              <w:rPr>
                <w:rFonts w:cs="Arial"/>
              </w:rPr>
              <w:t>4</w:t>
            </w:r>
            <w:r>
              <w:rPr>
                <w:rFonts w:cs="Arial"/>
              </w:rPr>
              <w:t>0</w:t>
            </w:r>
          </w:p>
        </w:tc>
        <w:tc>
          <w:tcPr>
            <w:tcW w:w="9000" w:type="dxa"/>
          </w:tcPr>
          <w:p w14:paraId="738B1D19" w14:textId="54D8394E" w:rsidR="00251BA4" w:rsidRDefault="00251BA4" w:rsidP="00251BA4">
            <w:pPr>
              <w:autoSpaceDE w:val="0"/>
              <w:autoSpaceDN w:val="0"/>
              <w:adjustRightInd w:val="0"/>
              <w:spacing w:line="240" w:lineRule="auto"/>
              <w:contextualSpacing/>
              <w:rPr>
                <w:color w:val="000000"/>
              </w:rPr>
            </w:pPr>
            <w:r w:rsidRPr="00743091">
              <w:rPr>
                <w:b/>
                <w:i/>
                <w:color w:val="000000"/>
              </w:rPr>
              <w:t>Federal Register</w:t>
            </w:r>
            <w:r>
              <w:rPr>
                <w:b/>
                <w:color w:val="000000"/>
              </w:rPr>
              <w:t xml:space="preserve"> notices </w:t>
            </w:r>
            <w:r w:rsidR="003E4A43">
              <w:rPr>
                <w:b/>
                <w:color w:val="000000"/>
              </w:rPr>
              <w:t>other than</w:t>
            </w:r>
            <w:r>
              <w:rPr>
                <w:b/>
                <w:color w:val="000000"/>
              </w:rPr>
              <w:t xml:space="preserve"> proposed and final rules.</w:t>
            </w:r>
          </w:p>
          <w:p w14:paraId="3AE83853" w14:textId="7EFD16B8" w:rsidR="00251BA4" w:rsidRDefault="00251BA4" w:rsidP="00251BA4">
            <w:pPr>
              <w:autoSpaceDE w:val="0"/>
              <w:autoSpaceDN w:val="0"/>
              <w:adjustRightInd w:val="0"/>
              <w:spacing w:line="240" w:lineRule="auto"/>
              <w:ind w:left="331"/>
              <w:contextualSpacing/>
            </w:pPr>
            <w:r>
              <w:t xml:space="preserve">Records </w:t>
            </w:r>
            <w:r w:rsidR="00BC2F08">
              <w:t>of</w:t>
            </w:r>
            <w:r w:rsidRPr="007D5475">
              <w:rPr>
                <w:rFonts w:asciiTheme="minorHAnsi" w:hAnsiTheme="minorHAnsi"/>
              </w:rPr>
              <w:t xml:space="preserve"> notices announcing </w:t>
            </w:r>
            <w:r w:rsidR="005A4CCB">
              <w:rPr>
                <w:rFonts w:asciiTheme="minorHAnsi" w:hAnsiTheme="minorHAnsi"/>
              </w:rPr>
              <w:t>public</w:t>
            </w:r>
            <w:r w:rsidR="00356586">
              <w:rPr>
                <w:rFonts w:asciiTheme="minorHAnsi" w:hAnsiTheme="minorHAnsi"/>
              </w:rPr>
              <w:t xml:space="preserve"> stakeholder </w:t>
            </w:r>
            <w:r w:rsidRPr="007D5475">
              <w:rPr>
                <w:rFonts w:asciiTheme="minorHAnsi" w:hAnsiTheme="minorHAnsi"/>
              </w:rPr>
              <w:t>meetings, hearings, investigations, petition filing, application filing</w:t>
            </w:r>
            <w:r w:rsidR="00752007">
              <w:rPr>
                <w:rFonts w:asciiTheme="minorHAnsi" w:hAnsiTheme="minorHAnsi"/>
              </w:rPr>
              <w:t>,</w:t>
            </w:r>
            <w:r w:rsidRPr="007D5475">
              <w:rPr>
                <w:rFonts w:asciiTheme="minorHAnsi" w:hAnsiTheme="minorHAnsi"/>
              </w:rPr>
              <w:t xml:space="preserve"> license issuance, license revocation, grant application deadl</w:t>
            </w:r>
            <w:r>
              <w:t xml:space="preserve">ines, environmental impact statement availability, delegations of authority, hours of public opening, </w:t>
            </w:r>
            <w:r w:rsidR="004D20A5">
              <w:t xml:space="preserve">use of an agency’s seal, </w:t>
            </w:r>
            <w:r w:rsidR="00356586">
              <w:t xml:space="preserve">guidance, System of Records Notices (SORNs), Paperwork Reduction Act Information Collection Requests (PRA ICRs), </w:t>
            </w:r>
            <w:r>
              <w:t>and other matters not codified in the Code of Federal Regulations.</w:t>
            </w:r>
          </w:p>
          <w:p w14:paraId="091C4309" w14:textId="77777777" w:rsidR="00356586" w:rsidRDefault="00356586" w:rsidP="00251BA4">
            <w:pPr>
              <w:autoSpaceDE w:val="0"/>
              <w:autoSpaceDN w:val="0"/>
              <w:adjustRightInd w:val="0"/>
              <w:spacing w:line="240" w:lineRule="auto"/>
              <w:ind w:left="331"/>
              <w:contextualSpacing/>
            </w:pPr>
          </w:p>
          <w:p w14:paraId="0A5F5C24" w14:textId="2B0DF987" w:rsidR="00356586" w:rsidRDefault="00356586" w:rsidP="00251BA4">
            <w:pPr>
              <w:autoSpaceDE w:val="0"/>
              <w:autoSpaceDN w:val="0"/>
              <w:adjustRightInd w:val="0"/>
              <w:spacing w:line="240" w:lineRule="auto"/>
              <w:ind w:left="331"/>
              <w:contextualSpacing/>
            </w:pPr>
            <w:r w:rsidRPr="00356586">
              <w:rPr>
                <w:b/>
              </w:rPr>
              <w:t>Note</w:t>
            </w:r>
            <w:r>
              <w:rPr>
                <w:b/>
              </w:rPr>
              <w:t xml:space="preserve"> 1</w:t>
            </w:r>
            <w:r>
              <w:t xml:space="preserve">:  SORNs </w:t>
            </w:r>
            <w:r w:rsidRPr="00356586">
              <w:rPr>
                <w:i/>
              </w:rPr>
              <w:t>per se</w:t>
            </w:r>
            <w:r>
              <w:t xml:space="preserve"> are covered by GRS 4.2, item 150.  </w:t>
            </w:r>
          </w:p>
          <w:p w14:paraId="52BC2E7A" w14:textId="77777777" w:rsidR="00356586" w:rsidRDefault="00356586" w:rsidP="00251BA4">
            <w:pPr>
              <w:autoSpaceDE w:val="0"/>
              <w:autoSpaceDN w:val="0"/>
              <w:adjustRightInd w:val="0"/>
              <w:spacing w:line="240" w:lineRule="auto"/>
              <w:ind w:left="331"/>
              <w:contextualSpacing/>
            </w:pPr>
          </w:p>
          <w:p w14:paraId="1C4477D4" w14:textId="522A8370" w:rsidR="00356586" w:rsidRDefault="00356586" w:rsidP="00251BA4">
            <w:pPr>
              <w:autoSpaceDE w:val="0"/>
              <w:autoSpaceDN w:val="0"/>
              <w:adjustRightInd w:val="0"/>
              <w:spacing w:line="240" w:lineRule="auto"/>
              <w:ind w:left="331"/>
              <w:contextualSpacing/>
              <w:rPr>
                <w:rFonts w:asciiTheme="minorHAnsi" w:hAnsiTheme="minorHAnsi"/>
              </w:rPr>
            </w:pPr>
            <w:r w:rsidRPr="00356586">
              <w:rPr>
                <w:b/>
              </w:rPr>
              <w:t>Note 2</w:t>
            </w:r>
            <w:r>
              <w:t>:  PRA Info</w:t>
            </w:r>
            <w:r w:rsidRPr="00356586">
              <w:t>rm</w:t>
            </w:r>
            <w:r w:rsidRPr="00356586">
              <w:rPr>
                <w:rFonts w:asciiTheme="minorHAnsi" w:hAnsiTheme="minorHAnsi"/>
              </w:rPr>
              <w:t xml:space="preserve">ation Collection reports are covered </w:t>
            </w:r>
            <w:r>
              <w:rPr>
                <w:rFonts w:asciiTheme="minorHAnsi" w:hAnsiTheme="minorHAnsi"/>
              </w:rPr>
              <w:t>by</w:t>
            </w:r>
            <w:r w:rsidRPr="00356586">
              <w:rPr>
                <w:rFonts w:asciiTheme="minorHAnsi" w:hAnsiTheme="minorHAnsi"/>
              </w:rPr>
              <w:t xml:space="preserve"> GRS 5.7, item 050</w:t>
            </w:r>
            <w:r>
              <w:rPr>
                <w:rFonts w:asciiTheme="minorHAnsi" w:hAnsiTheme="minorHAnsi"/>
              </w:rPr>
              <w:t>.</w:t>
            </w:r>
          </w:p>
          <w:p w14:paraId="762406EE" w14:textId="77777777" w:rsidR="005A4CCB" w:rsidRDefault="005A4CCB" w:rsidP="00251BA4">
            <w:pPr>
              <w:autoSpaceDE w:val="0"/>
              <w:autoSpaceDN w:val="0"/>
              <w:adjustRightInd w:val="0"/>
              <w:spacing w:line="240" w:lineRule="auto"/>
              <w:ind w:left="331"/>
              <w:contextualSpacing/>
              <w:rPr>
                <w:color w:val="000000"/>
              </w:rPr>
            </w:pPr>
          </w:p>
          <w:p w14:paraId="75CDDB3E" w14:textId="6C05258E" w:rsidR="00251BA4" w:rsidRPr="00BC2F08" w:rsidRDefault="005A4CCB" w:rsidP="00520856">
            <w:pPr>
              <w:autoSpaceDE w:val="0"/>
              <w:autoSpaceDN w:val="0"/>
              <w:adjustRightInd w:val="0"/>
              <w:spacing w:line="240" w:lineRule="auto"/>
              <w:ind w:left="331"/>
              <w:contextualSpacing/>
              <w:rPr>
                <w:color w:val="000000"/>
              </w:rPr>
            </w:pPr>
            <w:r w:rsidRPr="005A4CCB">
              <w:rPr>
                <w:b/>
                <w:color w:val="000000"/>
              </w:rPr>
              <w:t>Note 3</w:t>
            </w:r>
            <w:r>
              <w:rPr>
                <w:color w:val="000000"/>
              </w:rPr>
              <w:t>:  Notices of meetings of committees established under the Federal Advisory Committee Act (FACA) are covered by GRS 6.2, item 050.</w:t>
            </w:r>
          </w:p>
        </w:tc>
        <w:tc>
          <w:tcPr>
            <w:tcW w:w="2790" w:type="dxa"/>
          </w:tcPr>
          <w:p w14:paraId="7560C531" w14:textId="1EF58AEA" w:rsidR="00251BA4" w:rsidRPr="00601818" w:rsidRDefault="007921D2" w:rsidP="00BC2F08">
            <w:pPr>
              <w:spacing w:line="240" w:lineRule="auto"/>
              <w:rPr>
                <w:rFonts w:cs="Arial"/>
                <w:b/>
              </w:rPr>
            </w:pPr>
            <w:r w:rsidRPr="00601818">
              <w:rPr>
                <w:rFonts w:cs="Arial"/>
                <w:b/>
              </w:rPr>
              <w:t>Temporary</w:t>
            </w:r>
            <w:r w:rsidRPr="00601818">
              <w:rPr>
                <w:rFonts w:cs="Arial"/>
              </w:rPr>
              <w:t xml:space="preserve">. </w:t>
            </w:r>
            <w:r w:rsidR="009550C9">
              <w:rPr>
                <w:rFonts w:cs="Arial"/>
              </w:rPr>
              <w:t xml:space="preserve"> Destroy when 1 year old, </w:t>
            </w:r>
            <w:r w:rsidR="009550C9">
              <w:rPr>
                <w:rFonts w:cs="Arial"/>
                <w:color w:val="000000"/>
              </w:rPr>
              <w:t xml:space="preserve">but </w:t>
            </w:r>
            <w:r w:rsidR="009550C9" w:rsidRPr="00601818">
              <w:rPr>
                <w:rFonts w:cs="Arial"/>
                <w:color w:val="000000"/>
              </w:rPr>
              <w:t>longer retention is authorized if required for business use.</w:t>
            </w:r>
          </w:p>
        </w:tc>
        <w:tc>
          <w:tcPr>
            <w:tcW w:w="1440" w:type="dxa"/>
          </w:tcPr>
          <w:p w14:paraId="1C79E9C1" w14:textId="48A6FBD6" w:rsidR="00251BA4" w:rsidRDefault="007921D2" w:rsidP="00142576">
            <w:pPr>
              <w:spacing w:line="240" w:lineRule="auto"/>
              <w:rPr>
                <w:rFonts w:cs="Arial"/>
              </w:rPr>
            </w:pPr>
            <w:r>
              <w:rPr>
                <w:rFonts w:cs="Arial"/>
              </w:rPr>
              <w:t>DAA-GRS-2017</w:t>
            </w:r>
            <w:r w:rsidRPr="00601818">
              <w:rPr>
                <w:rFonts w:cs="Arial"/>
              </w:rPr>
              <w:t>-00</w:t>
            </w:r>
            <w:r w:rsidR="00142576">
              <w:rPr>
                <w:rFonts w:cs="Arial"/>
              </w:rPr>
              <w:t>12</w:t>
            </w:r>
            <w:r w:rsidRPr="00601818">
              <w:rPr>
                <w:rFonts w:cs="Arial"/>
              </w:rPr>
              <w:t>-000</w:t>
            </w:r>
            <w:r w:rsidR="00407B64">
              <w:rPr>
                <w:rFonts w:cs="Arial"/>
              </w:rPr>
              <w:t>4</w:t>
            </w:r>
          </w:p>
        </w:tc>
      </w:tr>
      <w:tr w:rsidR="00BC2F08" w14:paraId="5ACA3824" w14:textId="77777777" w:rsidTr="00C25A8B">
        <w:tc>
          <w:tcPr>
            <w:tcW w:w="720" w:type="dxa"/>
          </w:tcPr>
          <w:p w14:paraId="5982C595" w14:textId="3CD3D456" w:rsidR="00BC2F08" w:rsidRDefault="00BC2F08" w:rsidP="00407B64">
            <w:pPr>
              <w:spacing w:line="240" w:lineRule="auto"/>
              <w:jc w:val="center"/>
              <w:rPr>
                <w:rFonts w:cs="Arial"/>
              </w:rPr>
            </w:pPr>
            <w:r>
              <w:rPr>
                <w:rFonts w:cs="Arial"/>
              </w:rPr>
              <w:t>0</w:t>
            </w:r>
            <w:r w:rsidR="00407B64">
              <w:rPr>
                <w:rFonts w:cs="Arial"/>
              </w:rPr>
              <w:t>5</w:t>
            </w:r>
            <w:r>
              <w:rPr>
                <w:rFonts w:cs="Arial"/>
              </w:rPr>
              <w:t>0</w:t>
            </w:r>
          </w:p>
        </w:tc>
        <w:tc>
          <w:tcPr>
            <w:tcW w:w="9000" w:type="dxa"/>
          </w:tcPr>
          <w:p w14:paraId="08FFC526" w14:textId="41A92AAB" w:rsidR="00BC2F08" w:rsidRDefault="001209F1" w:rsidP="00BC2F08">
            <w:pPr>
              <w:autoSpaceDE w:val="0"/>
              <w:autoSpaceDN w:val="0"/>
              <w:adjustRightInd w:val="0"/>
              <w:spacing w:line="240" w:lineRule="auto"/>
              <w:contextualSpacing/>
              <w:rPr>
                <w:color w:val="000000"/>
              </w:rPr>
            </w:pPr>
            <w:r>
              <w:rPr>
                <w:b/>
                <w:color w:val="000000"/>
              </w:rPr>
              <w:t>A</w:t>
            </w:r>
            <w:r w:rsidR="009550C9">
              <w:rPr>
                <w:b/>
                <w:color w:val="000000"/>
              </w:rPr>
              <w:t>gency input into the unified agenda</w:t>
            </w:r>
            <w:r w:rsidR="00BC2F08">
              <w:rPr>
                <w:b/>
                <w:color w:val="000000"/>
              </w:rPr>
              <w:t>.</w:t>
            </w:r>
          </w:p>
          <w:p w14:paraId="588869FD" w14:textId="3CE9A85A" w:rsidR="00032FD9" w:rsidRDefault="00BC2F08" w:rsidP="009550C9">
            <w:pPr>
              <w:autoSpaceDE w:val="0"/>
              <w:autoSpaceDN w:val="0"/>
              <w:adjustRightInd w:val="0"/>
              <w:spacing w:line="240" w:lineRule="auto"/>
              <w:ind w:left="331"/>
              <w:contextualSpacing/>
              <w:rPr>
                <w:rFonts w:asciiTheme="minorHAnsi" w:hAnsiTheme="minorHAnsi"/>
              </w:rPr>
            </w:pPr>
            <w:r>
              <w:t xml:space="preserve">Records that process agency input </w:t>
            </w:r>
            <w:r w:rsidR="009550C9">
              <w:t>in</w:t>
            </w:r>
            <w:r>
              <w:t>t</w:t>
            </w:r>
            <w:r w:rsidRPr="007D5475">
              <w:rPr>
                <w:rFonts w:asciiTheme="minorHAnsi" w:hAnsiTheme="minorHAnsi"/>
              </w:rPr>
              <w:t xml:space="preserve">o </w:t>
            </w:r>
            <w:r w:rsidR="005C46C5">
              <w:t>the</w:t>
            </w:r>
            <w:r w:rsidR="005A4CCB">
              <w:t xml:space="preserve"> publication of:</w:t>
            </w:r>
          </w:p>
          <w:p w14:paraId="18DD94E0" w14:textId="0B50F51E" w:rsidR="00032FD9" w:rsidRPr="005C46C5" w:rsidRDefault="00032FD9" w:rsidP="00032FD9">
            <w:pPr>
              <w:pStyle w:val="ListParagraph"/>
              <w:numPr>
                <w:ilvl w:val="0"/>
                <w:numId w:val="10"/>
              </w:numPr>
              <w:tabs>
                <w:tab w:val="left" w:pos="605"/>
              </w:tabs>
              <w:autoSpaceDE w:val="0"/>
              <w:autoSpaceDN w:val="0"/>
              <w:adjustRightInd w:val="0"/>
              <w:spacing w:line="240" w:lineRule="auto"/>
              <w:ind w:left="695"/>
              <w:rPr>
                <w:rFonts w:asciiTheme="minorHAnsi" w:hAnsiTheme="minorHAnsi"/>
              </w:rPr>
            </w:pPr>
            <w:r>
              <w:rPr>
                <w:rFonts w:asciiTheme="minorHAnsi" w:hAnsiTheme="minorHAnsi"/>
              </w:rPr>
              <w:t>T</w:t>
            </w:r>
            <w:r w:rsidR="00BC2F08" w:rsidRPr="00032FD9">
              <w:rPr>
                <w:rFonts w:asciiTheme="minorHAnsi" w:hAnsiTheme="minorHAnsi"/>
              </w:rPr>
              <w:t xml:space="preserve">he </w:t>
            </w:r>
            <w:r w:rsidR="00BC2F08" w:rsidRPr="00032FD9">
              <w:rPr>
                <w:rFonts w:asciiTheme="minorHAnsi" w:hAnsiTheme="minorHAnsi" w:cs="Arial"/>
                <w:color w:val="222222"/>
                <w:shd w:val="clear" w:color="auto" w:fill="FFFFFF"/>
              </w:rPr>
              <w:t>Unified Agenda of Federal Regulatory and Deregulatory Actions</w:t>
            </w:r>
            <w:r w:rsidR="00BC2F08" w:rsidRPr="00032FD9">
              <w:rPr>
                <w:rFonts w:asciiTheme="minorHAnsi" w:hAnsiTheme="minorHAnsi"/>
              </w:rPr>
              <w:t xml:space="preserve"> (also known as the “unified agenda” or “semiannual regulatory agenda”)</w:t>
            </w:r>
            <w:r w:rsidR="009550C9" w:rsidRPr="00032FD9">
              <w:rPr>
                <w:rFonts w:asciiTheme="minorHAnsi" w:hAnsiTheme="minorHAnsi"/>
              </w:rPr>
              <w:t xml:space="preserve"> published </w:t>
            </w:r>
            <w:r w:rsidR="009550C9" w:rsidRPr="005C46C5">
              <w:rPr>
                <w:rFonts w:asciiTheme="minorHAnsi" w:hAnsiTheme="minorHAnsi"/>
              </w:rPr>
              <w:t xml:space="preserve">by </w:t>
            </w:r>
            <w:r w:rsidR="00D542BF" w:rsidRPr="005C46C5">
              <w:rPr>
                <w:rFonts w:asciiTheme="minorHAnsi" w:hAnsiTheme="minorHAnsi"/>
              </w:rPr>
              <w:t xml:space="preserve">General Services Administration (GSA) with input from </w:t>
            </w:r>
            <w:r w:rsidR="009550C9" w:rsidRPr="005C46C5">
              <w:rPr>
                <w:rFonts w:asciiTheme="minorHAnsi" w:hAnsiTheme="minorHAnsi"/>
              </w:rPr>
              <w:t xml:space="preserve">the Office of Management and Budget (OMB) </w:t>
            </w:r>
          </w:p>
          <w:p w14:paraId="6508DA0F" w14:textId="1854E139" w:rsidR="00032FD9" w:rsidRPr="005C46C5" w:rsidRDefault="009550C9" w:rsidP="00032FD9">
            <w:pPr>
              <w:pStyle w:val="ListParagraph"/>
              <w:numPr>
                <w:ilvl w:val="0"/>
                <w:numId w:val="10"/>
              </w:numPr>
              <w:tabs>
                <w:tab w:val="left" w:pos="605"/>
              </w:tabs>
              <w:autoSpaceDE w:val="0"/>
              <w:autoSpaceDN w:val="0"/>
              <w:adjustRightInd w:val="0"/>
              <w:spacing w:line="240" w:lineRule="auto"/>
              <w:ind w:left="695"/>
            </w:pPr>
            <w:r w:rsidRPr="005C46C5">
              <w:t xml:space="preserve">agency regulatory flexibility agendas </w:t>
            </w:r>
          </w:p>
          <w:p w14:paraId="32AA6AFA" w14:textId="77777777" w:rsidR="00032FD9" w:rsidRPr="005C46C5" w:rsidRDefault="009550C9" w:rsidP="00032FD9">
            <w:pPr>
              <w:pStyle w:val="ListParagraph"/>
              <w:numPr>
                <w:ilvl w:val="0"/>
                <w:numId w:val="10"/>
              </w:numPr>
              <w:tabs>
                <w:tab w:val="left" w:pos="605"/>
              </w:tabs>
              <w:autoSpaceDE w:val="0"/>
              <w:autoSpaceDN w:val="0"/>
              <w:adjustRightInd w:val="0"/>
              <w:spacing w:line="240" w:lineRule="auto"/>
              <w:ind w:left="695"/>
            </w:pPr>
            <w:r w:rsidRPr="005C46C5">
              <w:rPr>
                <w:bCs/>
              </w:rPr>
              <w:t>The Regulatory Plan</w:t>
            </w:r>
            <w:r w:rsidRPr="005C46C5">
              <w:t xml:space="preserve"> </w:t>
            </w:r>
          </w:p>
          <w:p w14:paraId="6755F276" w14:textId="77777777" w:rsidR="009550C9" w:rsidRPr="005C46C5" w:rsidRDefault="009550C9" w:rsidP="009550C9">
            <w:pPr>
              <w:autoSpaceDE w:val="0"/>
              <w:autoSpaceDN w:val="0"/>
              <w:adjustRightInd w:val="0"/>
              <w:spacing w:line="240" w:lineRule="auto"/>
              <w:ind w:left="331"/>
              <w:contextualSpacing/>
              <w:rPr>
                <w:color w:val="000000"/>
              </w:rPr>
            </w:pPr>
          </w:p>
          <w:p w14:paraId="08E2D740" w14:textId="4643FD2F" w:rsidR="00BC2F08" w:rsidRPr="00520856" w:rsidRDefault="009550C9" w:rsidP="00520856">
            <w:pPr>
              <w:autoSpaceDE w:val="0"/>
              <w:autoSpaceDN w:val="0"/>
              <w:adjustRightInd w:val="0"/>
              <w:spacing w:line="240" w:lineRule="auto"/>
              <w:ind w:left="331"/>
              <w:contextualSpacing/>
              <w:rPr>
                <w:color w:val="000000"/>
              </w:rPr>
            </w:pPr>
            <w:r w:rsidRPr="005C46C5">
              <w:rPr>
                <w:b/>
                <w:color w:val="000000"/>
              </w:rPr>
              <w:t>Exclusion</w:t>
            </w:r>
            <w:r w:rsidRPr="005C46C5">
              <w:rPr>
                <w:color w:val="000000"/>
              </w:rPr>
              <w:t>:  Compiled records received by</w:t>
            </w:r>
            <w:r w:rsidR="00D542BF" w:rsidRPr="005C46C5">
              <w:rPr>
                <w:color w:val="000000"/>
              </w:rPr>
              <w:t xml:space="preserve"> GSA,</w:t>
            </w:r>
            <w:r w:rsidRPr="005C46C5">
              <w:rPr>
                <w:color w:val="000000"/>
              </w:rPr>
              <w:t xml:space="preserve"> O</w:t>
            </w:r>
            <w:r>
              <w:rPr>
                <w:color w:val="000000"/>
              </w:rPr>
              <w:t>MB</w:t>
            </w:r>
            <w:r w:rsidR="00D542BF">
              <w:rPr>
                <w:color w:val="000000"/>
              </w:rPr>
              <w:t>,</w:t>
            </w:r>
            <w:r>
              <w:rPr>
                <w:color w:val="000000"/>
              </w:rPr>
              <w:t xml:space="preserve"> and the </w:t>
            </w:r>
            <w:r w:rsidR="00D524C4">
              <w:rPr>
                <w:color w:val="000000"/>
              </w:rPr>
              <w:t xml:space="preserve">Office of the </w:t>
            </w:r>
            <w:r>
              <w:rPr>
                <w:color w:val="000000"/>
              </w:rPr>
              <w:t>Federal Register</w:t>
            </w:r>
            <w:r w:rsidR="00752007">
              <w:rPr>
                <w:color w:val="000000"/>
              </w:rPr>
              <w:t>;</w:t>
            </w:r>
            <w:r>
              <w:rPr>
                <w:color w:val="000000"/>
              </w:rPr>
              <w:t xml:space="preserve"> those entities</w:t>
            </w:r>
            <w:r w:rsidR="00752007">
              <w:rPr>
                <w:color w:val="000000"/>
              </w:rPr>
              <w:t xml:space="preserve"> must schedule these records</w:t>
            </w:r>
            <w:r>
              <w:rPr>
                <w:color w:val="000000"/>
              </w:rPr>
              <w:t>.</w:t>
            </w:r>
          </w:p>
        </w:tc>
        <w:tc>
          <w:tcPr>
            <w:tcW w:w="2790" w:type="dxa"/>
          </w:tcPr>
          <w:p w14:paraId="016857DE" w14:textId="7DC6E2CE" w:rsidR="00BC2F08" w:rsidRPr="00601818" w:rsidRDefault="009550C9" w:rsidP="009550C9">
            <w:pPr>
              <w:spacing w:line="240" w:lineRule="auto"/>
              <w:rPr>
                <w:rFonts w:cs="Arial"/>
                <w:b/>
              </w:rPr>
            </w:pPr>
            <w:r w:rsidRPr="00601818">
              <w:rPr>
                <w:rFonts w:cs="Arial"/>
                <w:b/>
              </w:rPr>
              <w:t>Temporary</w:t>
            </w:r>
            <w:r w:rsidRPr="00601818">
              <w:rPr>
                <w:rFonts w:cs="Arial"/>
              </w:rPr>
              <w:t>.</w:t>
            </w:r>
            <w:r>
              <w:rPr>
                <w:rFonts w:cs="Arial"/>
              </w:rPr>
              <w:t xml:space="preserve">  Destroy when 2 years old, </w:t>
            </w:r>
            <w:r>
              <w:rPr>
                <w:rFonts w:cs="Arial"/>
                <w:color w:val="000000"/>
              </w:rPr>
              <w:t xml:space="preserve">but </w:t>
            </w:r>
            <w:r w:rsidRPr="00601818">
              <w:rPr>
                <w:rFonts w:cs="Arial"/>
                <w:color w:val="000000"/>
              </w:rPr>
              <w:t>longer retention is authorized if required for business use.</w:t>
            </w:r>
          </w:p>
        </w:tc>
        <w:tc>
          <w:tcPr>
            <w:tcW w:w="1440" w:type="dxa"/>
          </w:tcPr>
          <w:p w14:paraId="1AFF9A2C" w14:textId="430FF86F" w:rsidR="00BC2F08" w:rsidRDefault="00BC2F08" w:rsidP="00142576">
            <w:pPr>
              <w:spacing w:line="240" w:lineRule="auto"/>
              <w:rPr>
                <w:rFonts w:cs="Arial"/>
              </w:rPr>
            </w:pPr>
            <w:r>
              <w:rPr>
                <w:rFonts w:cs="Arial"/>
              </w:rPr>
              <w:t>DAA-GRS-2017</w:t>
            </w:r>
            <w:r w:rsidRPr="00601818">
              <w:rPr>
                <w:rFonts w:cs="Arial"/>
              </w:rPr>
              <w:t>-00</w:t>
            </w:r>
            <w:r w:rsidR="00142576">
              <w:rPr>
                <w:rFonts w:cs="Arial"/>
              </w:rPr>
              <w:t>12</w:t>
            </w:r>
            <w:r w:rsidRPr="00601818">
              <w:rPr>
                <w:rFonts w:cs="Arial"/>
              </w:rPr>
              <w:t>-000</w:t>
            </w:r>
            <w:r w:rsidR="00407B64">
              <w:rPr>
                <w:rFonts w:cs="Arial"/>
              </w:rPr>
              <w:t>5</w:t>
            </w:r>
          </w:p>
        </w:tc>
      </w:tr>
    </w:tbl>
    <w:p w14:paraId="61953048" w14:textId="77777777" w:rsidR="00CA4D1B" w:rsidRPr="00CA4D1B" w:rsidRDefault="00CA4D1B" w:rsidP="00994883">
      <w:pPr>
        <w:pStyle w:val="CommentText"/>
        <w:rPr>
          <w:rFonts w:asciiTheme="minorHAnsi" w:hAnsiTheme="minorHAnsi" w:cs="Arial"/>
          <w:sz w:val="22"/>
          <w:szCs w:val="22"/>
        </w:rPr>
      </w:pPr>
    </w:p>
    <w:sectPr w:rsidR="00CA4D1B" w:rsidRPr="00CA4D1B" w:rsidSect="001A4027">
      <w:headerReference w:type="default" r:id="rId8"/>
      <w:footerReference w:type="default" r:id="rId9"/>
      <w:pgSz w:w="15840" w:h="12240" w:orient="landscape"/>
      <w:pgMar w:top="1440" w:right="1440" w:bottom="1440" w:left="1440" w:header="720" w:footer="432" w:gutter="0"/>
      <w:pgNumType w:start="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365ED" w14:textId="77777777" w:rsidR="006C420E" w:rsidRDefault="006C420E" w:rsidP="00122C67">
      <w:pPr>
        <w:spacing w:line="240" w:lineRule="auto"/>
      </w:pPr>
      <w:r>
        <w:separator/>
      </w:r>
    </w:p>
  </w:endnote>
  <w:endnote w:type="continuationSeparator" w:id="0">
    <w:p w14:paraId="121532AA" w14:textId="77777777" w:rsidR="006C420E" w:rsidRDefault="006C420E" w:rsidP="00122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150532"/>
      <w:docPartObj>
        <w:docPartGallery w:val="Page Numbers (Bottom of Page)"/>
        <w:docPartUnique/>
      </w:docPartObj>
    </w:sdtPr>
    <w:sdtEndPr>
      <w:rPr>
        <w:noProof/>
      </w:rPr>
    </w:sdtEndPr>
    <w:sdtContent>
      <w:p w14:paraId="44C5FF31" w14:textId="60FD6348" w:rsidR="001C575F" w:rsidRDefault="001C575F">
        <w:pPr>
          <w:pStyle w:val="Footer"/>
          <w:jc w:val="center"/>
        </w:pPr>
        <w:r>
          <w:fldChar w:fldCharType="begin"/>
        </w:r>
        <w:r>
          <w:instrText xml:space="preserve"> PAGE   \* MERGEFORMAT </w:instrText>
        </w:r>
        <w:r>
          <w:fldChar w:fldCharType="separate"/>
        </w:r>
        <w:r w:rsidR="009B6B30">
          <w:rPr>
            <w:noProof/>
          </w:rPr>
          <w:t>51</w:t>
        </w:r>
        <w:r>
          <w:rPr>
            <w:noProof/>
          </w:rPr>
          <w:fldChar w:fldCharType="end"/>
        </w:r>
      </w:p>
    </w:sdtContent>
  </w:sdt>
  <w:p w14:paraId="19F4B22B" w14:textId="77777777" w:rsidR="001C575F" w:rsidRDefault="001C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CBEB8" w14:textId="77777777" w:rsidR="006C420E" w:rsidRDefault="006C420E" w:rsidP="00122C67">
      <w:pPr>
        <w:spacing w:line="240" w:lineRule="auto"/>
      </w:pPr>
      <w:r>
        <w:separator/>
      </w:r>
    </w:p>
  </w:footnote>
  <w:footnote w:type="continuationSeparator" w:id="0">
    <w:p w14:paraId="0A672673" w14:textId="77777777" w:rsidR="006C420E" w:rsidRDefault="006C420E" w:rsidP="00122C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5B4F3" w14:textId="2451D350" w:rsidR="00C25A8B" w:rsidRPr="00A31178" w:rsidRDefault="00C25A8B" w:rsidP="00C25A8B">
    <w:pPr>
      <w:pStyle w:val="Header"/>
      <w:tabs>
        <w:tab w:val="clear" w:pos="9360"/>
        <w:tab w:val="right" w:pos="14400"/>
      </w:tabs>
      <w:ind w:left="-450" w:right="-450"/>
      <w:rPr>
        <w:b/>
        <w:bCs/>
        <w:sz w:val="20"/>
        <w:szCs w:val="20"/>
      </w:rPr>
    </w:pPr>
    <w:r w:rsidRPr="00A31178">
      <w:rPr>
        <w:b/>
        <w:bCs/>
        <w:sz w:val="20"/>
        <w:szCs w:val="20"/>
      </w:rPr>
      <w:t>Transmittal No. 2</w:t>
    </w:r>
    <w:r>
      <w:rPr>
        <w:b/>
        <w:bCs/>
        <w:sz w:val="20"/>
        <w:szCs w:val="20"/>
      </w:rPr>
      <w:t>9</w:t>
    </w:r>
    <w:r w:rsidRPr="00A31178">
      <w:rPr>
        <w:b/>
        <w:bCs/>
        <w:sz w:val="20"/>
        <w:szCs w:val="20"/>
      </w:rPr>
      <w:tab/>
    </w:r>
    <w:r w:rsidRPr="00A31178">
      <w:rPr>
        <w:b/>
        <w:bCs/>
        <w:sz w:val="20"/>
        <w:szCs w:val="20"/>
      </w:rPr>
      <w:tab/>
      <w:t>General Records Schedule</w:t>
    </w:r>
    <w:r>
      <w:rPr>
        <w:b/>
        <w:bCs/>
        <w:sz w:val="20"/>
        <w:szCs w:val="20"/>
      </w:rPr>
      <w:t xml:space="preserve"> 6.6</w:t>
    </w:r>
  </w:p>
  <w:p w14:paraId="0E0BBADA" w14:textId="77777777" w:rsidR="00C25A8B" w:rsidRDefault="00C25A8B" w:rsidP="00C25A8B">
    <w:pPr>
      <w:pStyle w:val="Header"/>
      <w:ind w:left="-450" w:right="-540"/>
    </w:pPr>
    <w:r>
      <w:rPr>
        <w:b/>
        <w:bCs/>
        <w:sz w:val="20"/>
        <w:szCs w:val="20"/>
      </w:rPr>
      <w:t>December</w:t>
    </w:r>
    <w:r w:rsidRPr="00B43268">
      <w:rPr>
        <w:b/>
        <w:bCs/>
        <w:sz w:val="20"/>
        <w:szCs w:val="20"/>
      </w:rPr>
      <w:t xml:space="preserve"> </w:t>
    </w:r>
    <w:r>
      <w:rPr>
        <w:b/>
        <w:bCs/>
        <w:sz w:val="20"/>
        <w:szCs w:val="20"/>
      </w:rPr>
      <w:t>2017</w:t>
    </w:r>
  </w:p>
  <w:p w14:paraId="5F6CA20A" w14:textId="77777777" w:rsidR="00C25A8B" w:rsidRDefault="00C25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C2B"/>
    <w:multiLevelType w:val="hybridMultilevel"/>
    <w:tmpl w:val="2E3C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740F"/>
    <w:multiLevelType w:val="hybridMultilevel"/>
    <w:tmpl w:val="8E92E12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15:restartNumberingAfterBreak="0">
    <w:nsid w:val="10CB7250"/>
    <w:multiLevelType w:val="hybridMultilevel"/>
    <w:tmpl w:val="5122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E3205"/>
    <w:multiLevelType w:val="hybridMultilevel"/>
    <w:tmpl w:val="39D07368"/>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4" w15:restartNumberingAfterBreak="0">
    <w:nsid w:val="307D6AFA"/>
    <w:multiLevelType w:val="hybridMultilevel"/>
    <w:tmpl w:val="6DEEA41C"/>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5" w15:restartNumberingAfterBreak="0">
    <w:nsid w:val="4C797633"/>
    <w:multiLevelType w:val="hybridMultilevel"/>
    <w:tmpl w:val="A60CB7A8"/>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6" w15:restartNumberingAfterBreak="0">
    <w:nsid w:val="4EBA0671"/>
    <w:multiLevelType w:val="hybridMultilevel"/>
    <w:tmpl w:val="90A6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B737C"/>
    <w:multiLevelType w:val="hybridMultilevel"/>
    <w:tmpl w:val="6DB2AC38"/>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8" w15:restartNumberingAfterBreak="0">
    <w:nsid w:val="7BCF11E2"/>
    <w:multiLevelType w:val="hybridMultilevel"/>
    <w:tmpl w:val="9C389F96"/>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9" w15:restartNumberingAfterBreak="0">
    <w:nsid w:val="7F007054"/>
    <w:multiLevelType w:val="hybridMultilevel"/>
    <w:tmpl w:val="37E25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2"/>
  </w:num>
  <w:num w:numId="5">
    <w:abstractNumId w:val="3"/>
  </w:num>
  <w:num w:numId="6">
    <w:abstractNumId w:val="8"/>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44"/>
    <w:rsid w:val="00001742"/>
    <w:rsid w:val="00016323"/>
    <w:rsid w:val="000276D6"/>
    <w:rsid w:val="00032FD9"/>
    <w:rsid w:val="00041266"/>
    <w:rsid w:val="0008521E"/>
    <w:rsid w:val="00092594"/>
    <w:rsid w:val="0009442A"/>
    <w:rsid w:val="000A6F69"/>
    <w:rsid w:val="000A7B61"/>
    <w:rsid w:val="000C3838"/>
    <w:rsid w:val="000C4F52"/>
    <w:rsid w:val="000C7E33"/>
    <w:rsid w:val="000C7EA3"/>
    <w:rsid w:val="000D18B1"/>
    <w:rsid w:val="000D6873"/>
    <w:rsid w:val="00107F86"/>
    <w:rsid w:val="00117EAE"/>
    <w:rsid w:val="001209F1"/>
    <w:rsid w:val="00122C67"/>
    <w:rsid w:val="00135133"/>
    <w:rsid w:val="00135582"/>
    <w:rsid w:val="00142576"/>
    <w:rsid w:val="00145C74"/>
    <w:rsid w:val="00157342"/>
    <w:rsid w:val="00167FD5"/>
    <w:rsid w:val="001724A7"/>
    <w:rsid w:val="0018371A"/>
    <w:rsid w:val="001A04E0"/>
    <w:rsid w:val="001A4027"/>
    <w:rsid w:val="001B0298"/>
    <w:rsid w:val="001B19E2"/>
    <w:rsid w:val="001C575F"/>
    <w:rsid w:val="001D2D3C"/>
    <w:rsid w:val="001D4691"/>
    <w:rsid w:val="001E23BB"/>
    <w:rsid w:val="001E77F2"/>
    <w:rsid w:val="001F6EC3"/>
    <w:rsid w:val="00233CFA"/>
    <w:rsid w:val="00251AE0"/>
    <w:rsid w:val="00251BA4"/>
    <w:rsid w:val="00271FF9"/>
    <w:rsid w:val="00272ACB"/>
    <w:rsid w:val="00277B2C"/>
    <w:rsid w:val="002A45F1"/>
    <w:rsid w:val="002C0C9C"/>
    <w:rsid w:val="002D3AC5"/>
    <w:rsid w:val="002D765F"/>
    <w:rsid w:val="002E795F"/>
    <w:rsid w:val="002F450F"/>
    <w:rsid w:val="002F5A98"/>
    <w:rsid w:val="00317525"/>
    <w:rsid w:val="003237D4"/>
    <w:rsid w:val="00331CCD"/>
    <w:rsid w:val="00334783"/>
    <w:rsid w:val="00350130"/>
    <w:rsid w:val="00356586"/>
    <w:rsid w:val="00362C5C"/>
    <w:rsid w:val="003709B6"/>
    <w:rsid w:val="00371288"/>
    <w:rsid w:val="00384E13"/>
    <w:rsid w:val="003C3388"/>
    <w:rsid w:val="003D1CA9"/>
    <w:rsid w:val="003E4A43"/>
    <w:rsid w:val="003E4CC4"/>
    <w:rsid w:val="003E7DB3"/>
    <w:rsid w:val="003F4877"/>
    <w:rsid w:val="004047C6"/>
    <w:rsid w:val="00407B64"/>
    <w:rsid w:val="00423722"/>
    <w:rsid w:val="0043027A"/>
    <w:rsid w:val="0044243C"/>
    <w:rsid w:val="0045592B"/>
    <w:rsid w:val="00467A3C"/>
    <w:rsid w:val="00472DF7"/>
    <w:rsid w:val="004A1C3A"/>
    <w:rsid w:val="004B24C9"/>
    <w:rsid w:val="004B6C06"/>
    <w:rsid w:val="004C4991"/>
    <w:rsid w:val="004C7F56"/>
    <w:rsid w:val="004D20A5"/>
    <w:rsid w:val="005012AF"/>
    <w:rsid w:val="00506C1A"/>
    <w:rsid w:val="00520856"/>
    <w:rsid w:val="0052699F"/>
    <w:rsid w:val="00554334"/>
    <w:rsid w:val="00566D78"/>
    <w:rsid w:val="005A3A3B"/>
    <w:rsid w:val="005A4CCB"/>
    <w:rsid w:val="005B0A7E"/>
    <w:rsid w:val="005C36D3"/>
    <w:rsid w:val="005C46C5"/>
    <w:rsid w:val="005E1F4F"/>
    <w:rsid w:val="005E28D9"/>
    <w:rsid w:val="005F2B4A"/>
    <w:rsid w:val="006012C1"/>
    <w:rsid w:val="00601DCF"/>
    <w:rsid w:val="006171BE"/>
    <w:rsid w:val="00643730"/>
    <w:rsid w:val="006459FA"/>
    <w:rsid w:val="006573E3"/>
    <w:rsid w:val="0069359B"/>
    <w:rsid w:val="006951A3"/>
    <w:rsid w:val="006953DE"/>
    <w:rsid w:val="006A2A5E"/>
    <w:rsid w:val="006C420E"/>
    <w:rsid w:val="006C5666"/>
    <w:rsid w:val="006D31FA"/>
    <w:rsid w:val="006D49E3"/>
    <w:rsid w:val="006D67C9"/>
    <w:rsid w:val="00703508"/>
    <w:rsid w:val="0070742D"/>
    <w:rsid w:val="00727235"/>
    <w:rsid w:val="00733246"/>
    <w:rsid w:val="00736DE4"/>
    <w:rsid w:val="00743091"/>
    <w:rsid w:val="00743F52"/>
    <w:rsid w:val="00752007"/>
    <w:rsid w:val="00752B21"/>
    <w:rsid w:val="00772C15"/>
    <w:rsid w:val="007810BA"/>
    <w:rsid w:val="007921D2"/>
    <w:rsid w:val="007A60C6"/>
    <w:rsid w:val="007A7737"/>
    <w:rsid w:val="007B2526"/>
    <w:rsid w:val="007C0E05"/>
    <w:rsid w:val="007D1251"/>
    <w:rsid w:val="007D5475"/>
    <w:rsid w:val="007E58F2"/>
    <w:rsid w:val="007F1DC6"/>
    <w:rsid w:val="007F21FE"/>
    <w:rsid w:val="008011EF"/>
    <w:rsid w:val="0082027A"/>
    <w:rsid w:val="00821A6E"/>
    <w:rsid w:val="00837790"/>
    <w:rsid w:val="00871879"/>
    <w:rsid w:val="00876767"/>
    <w:rsid w:val="008A34BF"/>
    <w:rsid w:val="008A3D18"/>
    <w:rsid w:val="008A432C"/>
    <w:rsid w:val="008B4414"/>
    <w:rsid w:val="008C0C2A"/>
    <w:rsid w:val="008D2044"/>
    <w:rsid w:val="008D2F30"/>
    <w:rsid w:val="008D3163"/>
    <w:rsid w:val="008E6E3A"/>
    <w:rsid w:val="008E7105"/>
    <w:rsid w:val="009104E4"/>
    <w:rsid w:val="00911491"/>
    <w:rsid w:val="009175E2"/>
    <w:rsid w:val="0093487B"/>
    <w:rsid w:val="00945BE8"/>
    <w:rsid w:val="00950C1D"/>
    <w:rsid w:val="009550C9"/>
    <w:rsid w:val="00955BD2"/>
    <w:rsid w:val="009579AB"/>
    <w:rsid w:val="00972BB0"/>
    <w:rsid w:val="009738B6"/>
    <w:rsid w:val="00982AC4"/>
    <w:rsid w:val="00994883"/>
    <w:rsid w:val="00996751"/>
    <w:rsid w:val="0099779C"/>
    <w:rsid w:val="009A0F42"/>
    <w:rsid w:val="009A2DE6"/>
    <w:rsid w:val="009B0EFA"/>
    <w:rsid w:val="009B6B30"/>
    <w:rsid w:val="009B7C92"/>
    <w:rsid w:val="009D743C"/>
    <w:rsid w:val="009E29A8"/>
    <w:rsid w:val="009E5902"/>
    <w:rsid w:val="009F0CEE"/>
    <w:rsid w:val="009F72E3"/>
    <w:rsid w:val="00A13B8C"/>
    <w:rsid w:val="00A14ECC"/>
    <w:rsid w:val="00A21CE8"/>
    <w:rsid w:val="00A25086"/>
    <w:rsid w:val="00A35108"/>
    <w:rsid w:val="00A36CED"/>
    <w:rsid w:val="00A37B93"/>
    <w:rsid w:val="00A4116E"/>
    <w:rsid w:val="00A42E50"/>
    <w:rsid w:val="00A61986"/>
    <w:rsid w:val="00AA42DC"/>
    <w:rsid w:val="00AA48D6"/>
    <w:rsid w:val="00AB69DA"/>
    <w:rsid w:val="00AC4FC2"/>
    <w:rsid w:val="00AD2C0D"/>
    <w:rsid w:val="00AE0D65"/>
    <w:rsid w:val="00AF14BB"/>
    <w:rsid w:val="00AF7506"/>
    <w:rsid w:val="00B36A12"/>
    <w:rsid w:val="00B411D9"/>
    <w:rsid w:val="00B579A5"/>
    <w:rsid w:val="00B7130B"/>
    <w:rsid w:val="00B80793"/>
    <w:rsid w:val="00B83A01"/>
    <w:rsid w:val="00BA509F"/>
    <w:rsid w:val="00BC2F08"/>
    <w:rsid w:val="00BC732A"/>
    <w:rsid w:val="00BF732D"/>
    <w:rsid w:val="00C12BC5"/>
    <w:rsid w:val="00C20A2B"/>
    <w:rsid w:val="00C25A8B"/>
    <w:rsid w:val="00C2650D"/>
    <w:rsid w:val="00C45BCD"/>
    <w:rsid w:val="00C57970"/>
    <w:rsid w:val="00C64551"/>
    <w:rsid w:val="00C70E4B"/>
    <w:rsid w:val="00C769C8"/>
    <w:rsid w:val="00C86607"/>
    <w:rsid w:val="00CA4D1B"/>
    <w:rsid w:val="00CD5A73"/>
    <w:rsid w:val="00CF4F87"/>
    <w:rsid w:val="00CF7E9F"/>
    <w:rsid w:val="00D0511C"/>
    <w:rsid w:val="00D20C33"/>
    <w:rsid w:val="00D4120E"/>
    <w:rsid w:val="00D447E4"/>
    <w:rsid w:val="00D44AD6"/>
    <w:rsid w:val="00D524C4"/>
    <w:rsid w:val="00D542BF"/>
    <w:rsid w:val="00D5478B"/>
    <w:rsid w:val="00D570A4"/>
    <w:rsid w:val="00D60BE0"/>
    <w:rsid w:val="00D6296D"/>
    <w:rsid w:val="00D73389"/>
    <w:rsid w:val="00D8454E"/>
    <w:rsid w:val="00D87DAB"/>
    <w:rsid w:val="00DA00C9"/>
    <w:rsid w:val="00DA2850"/>
    <w:rsid w:val="00DA6BDA"/>
    <w:rsid w:val="00DB0190"/>
    <w:rsid w:val="00DB4DF3"/>
    <w:rsid w:val="00DB7CB5"/>
    <w:rsid w:val="00DC79DB"/>
    <w:rsid w:val="00DF20B8"/>
    <w:rsid w:val="00DF370A"/>
    <w:rsid w:val="00E02B99"/>
    <w:rsid w:val="00E14E45"/>
    <w:rsid w:val="00E209B7"/>
    <w:rsid w:val="00E31A7E"/>
    <w:rsid w:val="00E54FAF"/>
    <w:rsid w:val="00E64E54"/>
    <w:rsid w:val="00E77A59"/>
    <w:rsid w:val="00EC4932"/>
    <w:rsid w:val="00ED0379"/>
    <w:rsid w:val="00EE45BB"/>
    <w:rsid w:val="00F0109C"/>
    <w:rsid w:val="00F107DE"/>
    <w:rsid w:val="00F22CED"/>
    <w:rsid w:val="00F26990"/>
    <w:rsid w:val="00F3760F"/>
    <w:rsid w:val="00F760B0"/>
    <w:rsid w:val="00F7623D"/>
    <w:rsid w:val="00F8418C"/>
    <w:rsid w:val="00F84FA4"/>
    <w:rsid w:val="00FA4DA3"/>
    <w:rsid w:val="00FB2F49"/>
    <w:rsid w:val="00FB5AA3"/>
    <w:rsid w:val="00FB79BE"/>
    <w:rsid w:val="00FC3B0F"/>
    <w:rsid w:val="00FC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69EC7D"/>
  <w15:chartTrackingRefBased/>
  <w15:docId w15:val="{EBEB21A9-788B-4922-89C6-C65DCE60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E3"/>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C67"/>
    <w:pPr>
      <w:tabs>
        <w:tab w:val="center" w:pos="4680"/>
        <w:tab w:val="right" w:pos="9360"/>
      </w:tabs>
      <w:spacing w:line="240" w:lineRule="auto"/>
    </w:pPr>
  </w:style>
  <w:style w:type="character" w:customStyle="1" w:styleId="HeaderChar">
    <w:name w:val="Header Char"/>
    <w:basedOn w:val="DefaultParagraphFont"/>
    <w:link w:val="Header"/>
    <w:uiPriority w:val="99"/>
    <w:rsid w:val="00122C67"/>
    <w:rPr>
      <w:rFonts w:ascii="Calibri" w:eastAsia="Calibri" w:hAnsi="Calibri" w:cs="Times New Roman"/>
    </w:rPr>
  </w:style>
  <w:style w:type="paragraph" w:styleId="Footer">
    <w:name w:val="footer"/>
    <w:basedOn w:val="Normal"/>
    <w:link w:val="FooterChar"/>
    <w:uiPriority w:val="99"/>
    <w:unhideWhenUsed/>
    <w:rsid w:val="00122C67"/>
    <w:pPr>
      <w:tabs>
        <w:tab w:val="center" w:pos="4680"/>
        <w:tab w:val="right" w:pos="9360"/>
      </w:tabs>
      <w:spacing w:line="240" w:lineRule="auto"/>
    </w:pPr>
  </w:style>
  <w:style w:type="character" w:customStyle="1" w:styleId="FooterChar">
    <w:name w:val="Footer Char"/>
    <w:basedOn w:val="DefaultParagraphFont"/>
    <w:link w:val="Footer"/>
    <w:uiPriority w:val="99"/>
    <w:rsid w:val="00122C67"/>
    <w:rPr>
      <w:rFonts w:ascii="Calibri" w:eastAsia="Calibri" w:hAnsi="Calibri" w:cs="Times New Roman"/>
    </w:rPr>
  </w:style>
  <w:style w:type="character" w:styleId="CommentReference">
    <w:name w:val="annotation reference"/>
    <w:basedOn w:val="DefaultParagraphFont"/>
    <w:uiPriority w:val="99"/>
    <w:semiHidden/>
    <w:unhideWhenUsed/>
    <w:rsid w:val="00C769C8"/>
    <w:rPr>
      <w:sz w:val="16"/>
      <w:szCs w:val="16"/>
    </w:rPr>
  </w:style>
  <w:style w:type="paragraph" w:styleId="CommentText">
    <w:name w:val="annotation text"/>
    <w:basedOn w:val="Normal"/>
    <w:link w:val="CommentTextChar"/>
    <w:uiPriority w:val="99"/>
    <w:unhideWhenUsed/>
    <w:rsid w:val="00C769C8"/>
    <w:pPr>
      <w:spacing w:line="240" w:lineRule="auto"/>
    </w:pPr>
    <w:rPr>
      <w:sz w:val="20"/>
      <w:szCs w:val="20"/>
    </w:rPr>
  </w:style>
  <w:style w:type="character" w:customStyle="1" w:styleId="CommentTextChar">
    <w:name w:val="Comment Text Char"/>
    <w:basedOn w:val="DefaultParagraphFont"/>
    <w:link w:val="CommentText"/>
    <w:uiPriority w:val="99"/>
    <w:rsid w:val="00C769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69C8"/>
    <w:rPr>
      <w:b/>
      <w:bCs/>
    </w:rPr>
  </w:style>
  <w:style w:type="character" w:customStyle="1" w:styleId="CommentSubjectChar">
    <w:name w:val="Comment Subject Char"/>
    <w:basedOn w:val="CommentTextChar"/>
    <w:link w:val="CommentSubject"/>
    <w:uiPriority w:val="99"/>
    <w:semiHidden/>
    <w:rsid w:val="00C769C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69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C8"/>
    <w:rPr>
      <w:rFonts w:ascii="Segoe UI" w:eastAsia="Calibri" w:hAnsi="Segoe UI" w:cs="Segoe UI"/>
      <w:sz w:val="18"/>
      <w:szCs w:val="18"/>
    </w:rPr>
  </w:style>
  <w:style w:type="paragraph" w:styleId="ListParagraph">
    <w:name w:val="List Paragraph"/>
    <w:basedOn w:val="Normal"/>
    <w:uiPriority w:val="34"/>
    <w:qFormat/>
    <w:rsid w:val="00D44AD6"/>
    <w:pPr>
      <w:ind w:left="720"/>
      <w:contextualSpacing/>
    </w:pPr>
  </w:style>
  <w:style w:type="character" w:styleId="Hyperlink">
    <w:name w:val="Hyperlink"/>
    <w:basedOn w:val="DefaultParagraphFont"/>
    <w:uiPriority w:val="99"/>
    <w:unhideWhenUsed/>
    <w:rsid w:val="00334783"/>
    <w:rPr>
      <w:color w:val="0563C1" w:themeColor="hyperlink"/>
      <w:u w:val="single"/>
    </w:rPr>
  </w:style>
  <w:style w:type="character" w:styleId="HTMLCite">
    <w:name w:val="HTML Cite"/>
    <w:basedOn w:val="DefaultParagraphFont"/>
    <w:uiPriority w:val="99"/>
    <w:semiHidden/>
    <w:unhideWhenUsed/>
    <w:rsid w:val="00334783"/>
    <w:rPr>
      <w:i/>
      <w:iCs/>
    </w:rPr>
  </w:style>
  <w:style w:type="paragraph" w:styleId="Revision">
    <w:name w:val="Revision"/>
    <w:hidden/>
    <w:uiPriority w:val="99"/>
    <w:semiHidden/>
    <w:rsid w:val="00DF20B8"/>
    <w:pPr>
      <w:spacing w:after="0" w:line="240" w:lineRule="auto"/>
    </w:pPr>
    <w:rPr>
      <w:rFonts w:ascii="Calibri" w:eastAsia="Calibri" w:hAnsi="Calibri" w:cs="Times New Roman"/>
    </w:rPr>
  </w:style>
  <w:style w:type="character" w:customStyle="1" w:styleId="tgc">
    <w:name w:val="_tgc"/>
    <w:basedOn w:val="DefaultParagraphFont"/>
    <w:rsid w:val="0036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505934">
      <w:bodyDiv w:val="1"/>
      <w:marLeft w:val="0"/>
      <w:marRight w:val="0"/>
      <w:marTop w:val="0"/>
      <w:marBottom w:val="0"/>
      <w:divBdr>
        <w:top w:val="none" w:sz="0" w:space="0" w:color="auto"/>
        <w:left w:val="none" w:sz="0" w:space="0" w:color="auto"/>
        <w:bottom w:val="none" w:sz="0" w:space="0" w:color="auto"/>
        <w:right w:val="none" w:sz="0" w:space="0" w:color="auto"/>
      </w:divBdr>
      <w:divsChild>
        <w:div w:id="1984968030">
          <w:marLeft w:val="0"/>
          <w:marRight w:val="0"/>
          <w:marTop w:val="0"/>
          <w:marBottom w:val="0"/>
          <w:divBdr>
            <w:top w:val="none" w:sz="0" w:space="0" w:color="auto"/>
            <w:left w:val="none" w:sz="0" w:space="0" w:color="auto"/>
            <w:bottom w:val="none" w:sz="0" w:space="0" w:color="auto"/>
            <w:right w:val="none" w:sz="0" w:space="0" w:color="auto"/>
          </w:divBdr>
        </w:div>
        <w:div w:id="1667855367">
          <w:marLeft w:val="0"/>
          <w:marRight w:val="0"/>
          <w:marTop w:val="0"/>
          <w:marBottom w:val="0"/>
          <w:divBdr>
            <w:top w:val="none" w:sz="0" w:space="0" w:color="auto"/>
            <w:left w:val="none" w:sz="0" w:space="0" w:color="auto"/>
            <w:bottom w:val="none" w:sz="0" w:space="0" w:color="auto"/>
            <w:right w:val="none" w:sz="0" w:space="0" w:color="auto"/>
          </w:divBdr>
        </w:div>
        <w:div w:id="1769538489">
          <w:marLeft w:val="0"/>
          <w:marRight w:val="0"/>
          <w:marTop w:val="0"/>
          <w:marBottom w:val="0"/>
          <w:divBdr>
            <w:top w:val="none" w:sz="0" w:space="0" w:color="auto"/>
            <w:left w:val="none" w:sz="0" w:space="0" w:color="auto"/>
            <w:bottom w:val="none" w:sz="0" w:space="0" w:color="auto"/>
            <w:right w:val="none" w:sz="0" w:space="0" w:color="auto"/>
          </w:divBdr>
        </w:div>
      </w:divsChild>
    </w:div>
    <w:div w:id="2123452611">
      <w:bodyDiv w:val="1"/>
      <w:marLeft w:val="0"/>
      <w:marRight w:val="0"/>
      <w:marTop w:val="0"/>
      <w:marBottom w:val="0"/>
      <w:divBdr>
        <w:top w:val="none" w:sz="0" w:space="0" w:color="auto"/>
        <w:left w:val="none" w:sz="0" w:space="0" w:color="auto"/>
        <w:bottom w:val="none" w:sz="0" w:space="0" w:color="auto"/>
        <w:right w:val="none" w:sz="0" w:space="0" w:color="auto"/>
      </w:divBdr>
      <w:divsChild>
        <w:div w:id="157497712">
          <w:marLeft w:val="0"/>
          <w:marRight w:val="0"/>
          <w:marTop w:val="0"/>
          <w:marBottom w:val="0"/>
          <w:divBdr>
            <w:top w:val="none" w:sz="0" w:space="0" w:color="auto"/>
            <w:left w:val="none" w:sz="0" w:space="0" w:color="auto"/>
            <w:bottom w:val="none" w:sz="0" w:space="0" w:color="auto"/>
            <w:right w:val="none" w:sz="0" w:space="0" w:color="auto"/>
          </w:divBdr>
        </w:div>
        <w:div w:id="53550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D31A-200E-4F9D-8796-33C0EEE6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Compton</dc:creator>
  <cp:keywords/>
  <dc:description/>
  <cp:lastModifiedBy>XA Profile</cp:lastModifiedBy>
  <cp:revision>2</cp:revision>
  <cp:lastPrinted>2017-09-13T16:21:00Z</cp:lastPrinted>
  <dcterms:created xsi:type="dcterms:W3CDTF">2017-11-28T15:24:00Z</dcterms:created>
  <dcterms:modified xsi:type="dcterms:W3CDTF">2017-11-28T15:24:00Z</dcterms:modified>
</cp:coreProperties>
</file>