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2E6" w:rsidRDefault="00527187" w:rsidP="00681037">
      <w:pPr>
        <w:pStyle w:val="Heading4"/>
      </w:pPr>
      <w:r>
        <w:t>National Archives and Records Administration</w:t>
      </w:r>
    </w:p>
    <w:p w:rsidR="00681037" w:rsidRDefault="00681037" w:rsidP="00681037">
      <w:pPr>
        <w:pStyle w:val="Title"/>
      </w:pPr>
    </w:p>
    <w:p w:rsidR="00527187" w:rsidRDefault="00527187" w:rsidP="00681037">
      <w:pPr>
        <w:pStyle w:val="Title"/>
      </w:pPr>
      <w:r>
        <w:t xml:space="preserve">Federal Records Management Level 1:  </w:t>
      </w:r>
      <w:r w:rsidR="00DF49FF">
        <w:t>Maintenance and Use</w:t>
      </w:r>
    </w:p>
    <w:p w:rsidR="00527187" w:rsidRDefault="00527187" w:rsidP="00681037">
      <w:pPr>
        <w:pStyle w:val="Title"/>
      </w:pPr>
      <w:r>
        <w:t>Participant Guide</w:t>
      </w:r>
    </w:p>
    <w:p w:rsidR="00271E88" w:rsidRDefault="00271E88" w:rsidP="00271E88"/>
    <w:p w:rsidR="00271E88" w:rsidRPr="00361F26" w:rsidRDefault="00361F26" w:rsidP="00271E88">
      <w:pPr>
        <w:rPr>
          <w:sz w:val="32"/>
          <w:szCs w:val="32"/>
        </w:rPr>
        <w:sectPr w:rsidR="00271E88" w:rsidRPr="00361F26">
          <w:pgSz w:w="12240" w:h="15840"/>
          <w:pgMar w:top="1440" w:right="1440" w:bottom="1440" w:left="1440" w:header="720" w:footer="720" w:gutter="0"/>
          <w:cols w:space="720"/>
          <w:docGrid w:linePitch="360"/>
        </w:sectPr>
      </w:pPr>
      <w:r w:rsidRPr="00361F26">
        <w:rPr>
          <w:sz w:val="32"/>
          <w:szCs w:val="32"/>
        </w:rPr>
        <w:t>Module 2: Conduct a Records Clean-Up</w:t>
      </w:r>
    </w:p>
    <w:sdt>
      <w:sdtPr>
        <w:rPr>
          <w:b w:val="0"/>
          <w:color w:val="auto"/>
          <w:spacing w:val="0"/>
          <w:sz w:val="24"/>
          <w:szCs w:val="20"/>
        </w:rPr>
        <w:id w:val="-1401588351"/>
        <w:docPartObj>
          <w:docPartGallery w:val="Table of Contents"/>
          <w:docPartUnique/>
        </w:docPartObj>
      </w:sdtPr>
      <w:sdtEndPr>
        <w:rPr>
          <w:bCs/>
          <w:noProof/>
        </w:rPr>
      </w:sdtEndPr>
      <w:sdtContent>
        <w:p w:rsidR="003938EE" w:rsidRDefault="003938EE">
          <w:pPr>
            <w:pStyle w:val="TOCHeading"/>
          </w:pPr>
          <w:r>
            <w:t>Table of Contents</w:t>
          </w:r>
        </w:p>
        <w:p w:rsidR="00493819" w:rsidRDefault="003938EE">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15968265" w:history="1">
            <w:r w:rsidR="00493819" w:rsidRPr="00020D07">
              <w:rPr>
                <w:rStyle w:val="Hyperlink"/>
                <w:noProof/>
              </w:rPr>
              <w:t>Module 2:  Conduct a Records Clean-up</w:t>
            </w:r>
            <w:r w:rsidR="00493819">
              <w:rPr>
                <w:noProof/>
                <w:webHidden/>
              </w:rPr>
              <w:tab/>
            </w:r>
            <w:r w:rsidR="00493819">
              <w:rPr>
                <w:noProof/>
                <w:webHidden/>
              </w:rPr>
              <w:fldChar w:fldCharType="begin"/>
            </w:r>
            <w:r w:rsidR="00493819">
              <w:rPr>
                <w:noProof/>
                <w:webHidden/>
              </w:rPr>
              <w:instrText xml:space="preserve"> PAGEREF _Toc15968265 \h </w:instrText>
            </w:r>
            <w:r w:rsidR="00493819">
              <w:rPr>
                <w:noProof/>
                <w:webHidden/>
              </w:rPr>
            </w:r>
            <w:r w:rsidR="00493819">
              <w:rPr>
                <w:noProof/>
                <w:webHidden/>
              </w:rPr>
              <w:fldChar w:fldCharType="separate"/>
            </w:r>
            <w:r w:rsidR="00493819">
              <w:rPr>
                <w:noProof/>
                <w:webHidden/>
              </w:rPr>
              <w:t>3</w:t>
            </w:r>
            <w:r w:rsidR="00493819">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66" w:history="1">
            <w:r w:rsidRPr="00020D07">
              <w:rPr>
                <w:rStyle w:val="Hyperlink"/>
                <w:noProof/>
              </w:rPr>
              <w:t>Objectives and Agenda</w:t>
            </w:r>
            <w:r>
              <w:rPr>
                <w:noProof/>
                <w:webHidden/>
              </w:rPr>
              <w:tab/>
            </w:r>
            <w:r>
              <w:rPr>
                <w:noProof/>
                <w:webHidden/>
              </w:rPr>
              <w:fldChar w:fldCharType="begin"/>
            </w:r>
            <w:r>
              <w:rPr>
                <w:noProof/>
                <w:webHidden/>
              </w:rPr>
              <w:instrText xml:space="preserve"> PAGEREF _Toc15968266 \h </w:instrText>
            </w:r>
            <w:r>
              <w:rPr>
                <w:noProof/>
                <w:webHidden/>
              </w:rPr>
            </w:r>
            <w:r>
              <w:rPr>
                <w:noProof/>
                <w:webHidden/>
              </w:rPr>
              <w:fldChar w:fldCharType="separate"/>
            </w:r>
            <w:r>
              <w:rPr>
                <w:noProof/>
                <w:webHidden/>
              </w:rPr>
              <w:t>3</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67" w:history="1">
            <w:r w:rsidRPr="00020D07">
              <w:rPr>
                <w:rStyle w:val="Hyperlink"/>
                <w:noProof/>
              </w:rPr>
              <w:t>Verify Inventory Information</w:t>
            </w:r>
            <w:r>
              <w:rPr>
                <w:noProof/>
                <w:webHidden/>
              </w:rPr>
              <w:tab/>
            </w:r>
            <w:r>
              <w:rPr>
                <w:noProof/>
                <w:webHidden/>
              </w:rPr>
              <w:fldChar w:fldCharType="begin"/>
            </w:r>
            <w:r>
              <w:rPr>
                <w:noProof/>
                <w:webHidden/>
              </w:rPr>
              <w:instrText xml:space="preserve"> PAGEREF _Toc15968267 \h </w:instrText>
            </w:r>
            <w:r>
              <w:rPr>
                <w:noProof/>
                <w:webHidden/>
              </w:rPr>
            </w:r>
            <w:r>
              <w:rPr>
                <w:noProof/>
                <w:webHidden/>
              </w:rPr>
              <w:fldChar w:fldCharType="separate"/>
            </w:r>
            <w:r>
              <w:rPr>
                <w:noProof/>
                <w:webHidden/>
              </w:rPr>
              <w:t>3</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68" w:history="1">
            <w:r w:rsidRPr="00020D07">
              <w:rPr>
                <w:rStyle w:val="Hyperlink"/>
                <w:noProof/>
              </w:rPr>
              <w:t>Matching Records to a Records Schedule</w:t>
            </w:r>
            <w:r>
              <w:rPr>
                <w:noProof/>
                <w:webHidden/>
              </w:rPr>
              <w:tab/>
            </w:r>
            <w:r>
              <w:rPr>
                <w:noProof/>
                <w:webHidden/>
              </w:rPr>
              <w:fldChar w:fldCharType="begin"/>
            </w:r>
            <w:r>
              <w:rPr>
                <w:noProof/>
                <w:webHidden/>
              </w:rPr>
              <w:instrText xml:space="preserve"> PAGEREF _Toc15968268 \h </w:instrText>
            </w:r>
            <w:r>
              <w:rPr>
                <w:noProof/>
                <w:webHidden/>
              </w:rPr>
            </w:r>
            <w:r>
              <w:rPr>
                <w:noProof/>
                <w:webHidden/>
              </w:rPr>
              <w:fldChar w:fldCharType="separate"/>
            </w:r>
            <w:r>
              <w:rPr>
                <w:noProof/>
                <w:webHidden/>
              </w:rPr>
              <w:t>3</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69" w:history="1">
            <w:r w:rsidRPr="00020D07">
              <w:rPr>
                <w:rStyle w:val="Hyperlink"/>
                <w:noProof/>
              </w:rPr>
              <w:t>Activity: Using a Records Schedule</w:t>
            </w:r>
            <w:r>
              <w:rPr>
                <w:noProof/>
                <w:webHidden/>
              </w:rPr>
              <w:tab/>
            </w:r>
            <w:r>
              <w:rPr>
                <w:noProof/>
                <w:webHidden/>
              </w:rPr>
              <w:fldChar w:fldCharType="begin"/>
            </w:r>
            <w:r>
              <w:rPr>
                <w:noProof/>
                <w:webHidden/>
              </w:rPr>
              <w:instrText xml:space="preserve"> PAGEREF _Toc15968269 \h </w:instrText>
            </w:r>
            <w:r>
              <w:rPr>
                <w:noProof/>
                <w:webHidden/>
              </w:rPr>
            </w:r>
            <w:r>
              <w:rPr>
                <w:noProof/>
                <w:webHidden/>
              </w:rPr>
              <w:fldChar w:fldCharType="separate"/>
            </w:r>
            <w:r>
              <w:rPr>
                <w:noProof/>
                <w:webHidden/>
              </w:rPr>
              <w:t>4</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70" w:history="1">
            <w:r w:rsidRPr="00020D07">
              <w:rPr>
                <w:rStyle w:val="Hyperlink"/>
                <w:noProof/>
              </w:rPr>
              <w:t>Activity: Using a Records Schedule - Notes</w:t>
            </w:r>
            <w:r>
              <w:rPr>
                <w:noProof/>
                <w:webHidden/>
              </w:rPr>
              <w:tab/>
            </w:r>
            <w:r>
              <w:rPr>
                <w:noProof/>
                <w:webHidden/>
              </w:rPr>
              <w:fldChar w:fldCharType="begin"/>
            </w:r>
            <w:r>
              <w:rPr>
                <w:noProof/>
                <w:webHidden/>
              </w:rPr>
              <w:instrText xml:space="preserve"> PAGEREF _Toc15968270 \h </w:instrText>
            </w:r>
            <w:r>
              <w:rPr>
                <w:noProof/>
                <w:webHidden/>
              </w:rPr>
            </w:r>
            <w:r>
              <w:rPr>
                <w:noProof/>
                <w:webHidden/>
              </w:rPr>
              <w:fldChar w:fldCharType="separate"/>
            </w:r>
            <w:r>
              <w:rPr>
                <w:noProof/>
                <w:webHidden/>
              </w:rPr>
              <w:t>4</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71" w:history="1">
            <w:r w:rsidRPr="00020D07">
              <w:rPr>
                <w:rStyle w:val="Hyperlink"/>
                <w:noProof/>
              </w:rPr>
              <w:t>Sample Records Schedule for Module Activities</w:t>
            </w:r>
            <w:r>
              <w:rPr>
                <w:noProof/>
                <w:webHidden/>
              </w:rPr>
              <w:tab/>
            </w:r>
            <w:r>
              <w:rPr>
                <w:noProof/>
                <w:webHidden/>
              </w:rPr>
              <w:fldChar w:fldCharType="begin"/>
            </w:r>
            <w:r>
              <w:rPr>
                <w:noProof/>
                <w:webHidden/>
              </w:rPr>
              <w:instrText xml:space="preserve"> PAGEREF _Toc15968271 \h </w:instrText>
            </w:r>
            <w:r>
              <w:rPr>
                <w:noProof/>
                <w:webHidden/>
              </w:rPr>
            </w:r>
            <w:r>
              <w:rPr>
                <w:noProof/>
                <w:webHidden/>
              </w:rPr>
              <w:fldChar w:fldCharType="separate"/>
            </w:r>
            <w:r>
              <w:rPr>
                <w:noProof/>
                <w:webHidden/>
              </w:rPr>
              <w:t>5</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72" w:history="1">
            <w:r w:rsidRPr="00020D07">
              <w:rPr>
                <w:rStyle w:val="Hyperlink"/>
                <w:noProof/>
              </w:rPr>
              <w:t>Unscheduled Records</w:t>
            </w:r>
            <w:r>
              <w:rPr>
                <w:noProof/>
                <w:webHidden/>
              </w:rPr>
              <w:tab/>
            </w:r>
            <w:r>
              <w:rPr>
                <w:noProof/>
                <w:webHidden/>
              </w:rPr>
              <w:fldChar w:fldCharType="begin"/>
            </w:r>
            <w:r>
              <w:rPr>
                <w:noProof/>
                <w:webHidden/>
              </w:rPr>
              <w:instrText xml:space="preserve"> PAGEREF _Toc15968272 \h </w:instrText>
            </w:r>
            <w:r>
              <w:rPr>
                <w:noProof/>
                <w:webHidden/>
              </w:rPr>
            </w:r>
            <w:r>
              <w:rPr>
                <w:noProof/>
                <w:webHidden/>
              </w:rPr>
              <w:fldChar w:fldCharType="separate"/>
            </w:r>
            <w:r>
              <w:rPr>
                <w:noProof/>
                <w:webHidden/>
              </w:rPr>
              <w:t>9</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73" w:history="1">
            <w:r w:rsidRPr="00020D07">
              <w:rPr>
                <w:rStyle w:val="Hyperlink"/>
                <w:noProof/>
              </w:rPr>
              <w:t>Calculating Records Disposition</w:t>
            </w:r>
            <w:r>
              <w:rPr>
                <w:noProof/>
                <w:webHidden/>
              </w:rPr>
              <w:tab/>
            </w:r>
            <w:r>
              <w:rPr>
                <w:noProof/>
                <w:webHidden/>
              </w:rPr>
              <w:fldChar w:fldCharType="begin"/>
            </w:r>
            <w:r>
              <w:rPr>
                <w:noProof/>
                <w:webHidden/>
              </w:rPr>
              <w:instrText xml:space="preserve"> PAGEREF _Toc15968273 \h </w:instrText>
            </w:r>
            <w:r>
              <w:rPr>
                <w:noProof/>
                <w:webHidden/>
              </w:rPr>
            </w:r>
            <w:r>
              <w:rPr>
                <w:noProof/>
                <w:webHidden/>
              </w:rPr>
              <w:fldChar w:fldCharType="separate"/>
            </w:r>
            <w:r>
              <w:rPr>
                <w:noProof/>
                <w:webHidden/>
              </w:rPr>
              <w:t>9</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74" w:history="1">
            <w:r w:rsidRPr="00020D07">
              <w:rPr>
                <w:rStyle w:val="Hyperlink"/>
                <w:noProof/>
              </w:rPr>
              <w:t>Calculating Disposition Dates – Notes</w:t>
            </w:r>
            <w:r>
              <w:rPr>
                <w:noProof/>
                <w:webHidden/>
              </w:rPr>
              <w:tab/>
            </w:r>
            <w:r>
              <w:rPr>
                <w:noProof/>
                <w:webHidden/>
              </w:rPr>
              <w:fldChar w:fldCharType="begin"/>
            </w:r>
            <w:r>
              <w:rPr>
                <w:noProof/>
                <w:webHidden/>
              </w:rPr>
              <w:instrText xml:space="preserve"> PAGEREF _Toc15968274 \h </w:instrText>
            </w:r>
            <w:r>
              <w:rPr>
                <w:noProof/>
                <w:webHidden/>
              </w:rPr>
            </w:r>
            <w:r>
              <w:rPr>
                <w:noProof/>
                <w:webHidden/>
              </w:rPr>
              <w:fldChar w:fldCharType="separate"/>
            </w:r>
            <w:r>
              <w:rPr>
                <w:noProof/>
                <w:webHidden/>
              </w:rPr>
              <w:t>10</w:t>
            </w:r>
            <w:r>
              <w:rPr>
                <w:noProof/>
                <w:webHidden/>
              </w:rPr>
              <w:fldChar w:fldCharType="end"/>
            </w:r>
          </w:hyperlink>
          <w:bookmarkStart w:id="0" w:name="_GoBack"/>
          <w:bookmarkEnd w:id="0"/>
        </w:p>
        <w:p w:rsidR="00493819" w:rsidRDefault="00493819">
          <w:pPr>
            <w:pStyle w:val="TOC2"/>
            <w:tabs>
              <w:tab w:val="right" w:leader="dot" w:pos="9350"/>
            </w:tabs>
            <w:rPr>
              <w:rFonts w:asciiTheme="minorHAnsi" w:hAnsiTheme="minorHAnsi"/>
              <w:noProof/>
              <w:sz w:val="22"/>
              <w:szCs w:val="22"/>
            </w:rPr>
          </w:pPr>
          <w:hyperlink w:anchor="_Toc15968275" w:history="1">
            <w:r w:rsidRPr="00020D07">
              <w:rPr>
                <w:rStyle w:val="Hyperlink"/>
                <w:noProof/>
              </w:rPr>
              <w:t>Task: Conduct a Records Clean-up</w:t>
            </w:r>
            <w:r>
              <w:rPr>
                <w:noProof/>
                <w:webHidden/>
              </w:rPr>
              <w:tab/>
            </w:r>
            <w:r>
              <w:rPr>
                <w:noProof/>
                <w:webHidden/>
              </w:rPr>
              <w:fldChar w:fldCharType="begin"/>
            </w:r>
            <w:r>
              <w:rPr>
                <w:noProof/>
                <w:webHidden/>
              </w:rPr>
              <w:instrText xml:space="preserve"> PAGEREF _Toc15968275 \h </w:instrText>
            </w:r>
            <w:r>
              <w:rPr>
                <w:noProof/>
                <w:webHidden/>
              </w:rPr>
            </w:r>
            <w:r>
              <w:rPr>
                <w:noProof/>
                <w:webHidden/>
              </w:rPr>
              <w:fldChar w:fldCharType="separate"/>
            </w:r>
            <w:r>
              <w:rPr>
                <w:noProof/>
                <w:webHidden/>
              </w:rPr>
              <w:t>11</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76" w:history="1">
            <w:r w:rsidRPr="00020D07">
              <w:rPr>
                <w:rStyle w:val="Hyperlink"/>
                <w:noProof/>
              </w:rPr>
              <w:t>Records Clean-Up Questions to Ask</w:t>
            </w:r>
            <w:r>
              <w:rPr>
                <w:noProof/>
                <w:webHidden/>
              </w:rPr>
              <w:tab/>
            </w:r>
            <w:r>
              <w:rPr>
                <w:noProof/>
                <w:webHidden/>
              </w:rPr>
              <w:fldChar w:fldCharType="begin"/>
            </w:r>
            <w:r>
              <w:rPr>
                <w:noProof/>
                <w:webHidden/>
              </w:rPr>
              <w:instrText xml:space="preserve"> PAGEREF _Toc15968276 \h </w:instrText>
            </w:r>
            <w:r>
              <w:rPr>
                <w:noProof/>
                <w:webHidden/>
              </w:rPr>
            </w:r>
            <w:r>
              <w:rPr>
                <w:noProof/>
                <w:webHidden/>
              </w:rPr>
              <w:fldChar w:fldCharType="separate"/>
            </w:r>
            <w:r>
              <w:rPr>
                <w:noProof/>
                <w:webHidden/>
              </w:rPr>
              <w:t>11</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77" w:history="1">
            <w:r w:rsidRPr="00020D07">
              <w:rPr>
                <w:rStyle w:val="Hyperlink"/>
                <w:noProof/>
              </w:rPr>
              <w:t>Records Clean-Up – Notes</w:t>
            </w:r>
            <w:r>
              <w:rPr>
                <w:noProof/>
                <w:webHidden/>
              </w:rPr>
              <w:tab/>
            </w:r>
            <w:r>
              <w:rPr>
                <w:noProof/>
                <w:webHidden/>
              </w:rPr>
              <w:fldChar w:fldCharType="begin"/>
            </w:r>
            <w:r>
              <w:rPr>
                <w:noProof/>
                <w:webHidden/>
              </w:rPr>
              <w:instrText xml:space="preserve"> PAGEREF _Toc15968277 \h </w:instrText>
            </w:r>
            <w:r>
              <w:rPr>
                <w:noProof/>
                <w:webHidden/>
              </w:rPr>
            </w:r>
            <w:r>
              <w:rPr>
                <w:noProof/>
                <w:webHidden/>
              </w:rPr>
              <w:fldChar w:fldCharType="separate"/>
            </w:r>
            <w:r>
              <w:rPr>
                <w:noProof/>
                <w:webHidden/>
              </w:rPr>
              <w:t>12</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78" w:history="1">
            <w:r w:rsidRPr="00020D07">
              <w:rPr>
                <w:rStyle w:val="Hyperlink"/>
                <w:noProof/>
              </w:rPr>
              <w:t>Activity: Records Clean-up – Worksheet</w:t>
            </w:r>
            <w:r>
              <w:rPr>
                <w:noProof/>
                <w:webHidden/>
              </w:rPr>
              <w:tab/>
            </w:r>
            <w:r>
              <w:rPr>
                <w:noProof/>
                <w:webHidden/>
              </w:rPr>
              <w:fldChar w:fldCharType="begin"/>
            </w:r>
            <w:r>
              <w:rPr>
                <w:noProof/>
                <w:webHidden/>
              </w:rPr>
              <w:instrText xml:space="preserve"> PAGEREF _Toc15968278 \h </w:instrText>
            </w:r>
            <w:r>
              <w:rPr>
                <w:noProof/>
                <w:webHidden/>
              </w:rPr>
            </w:r>
            <w:r>
              <w:rPr>
                <w:noProof/>
                <w:webHidden/>
              </w:rPr>
              <w:fldChar w:fldCharType="separate"/>
            </w:r>
            <w:r>
              <w:rPr>
                <w:noProof/>
                <w:webHidden/>
              </w:rPr>
              <w:t>13</w:t>
            </w:r>
            <w:r>
              <w:rPr>
                <w:noProof/>
                <w:webHidden/>
              </w:rPr>
              <w:fldChar w:fldCharType="end"/>
            </w:r>
          </w:hyperlink>
        </w:p>
        <w:p w:rsidR="00493819" w:rsidRDefault="00493819">
          <w:pPr>
            <w:pStyle w:val="TOC1"/>
            <w:tabs>
              <w:tab w:val="right" w:leader="dot" w:pos="9350"/>
            </w:tabs>
            <w:rPr>
              <w:rFonts w:asciiTheme="minorHAnsi" w:hAnsiTheme="minorHAnsi"/>
              <w:noProof/>
              <w:sz w:val="22"/>
              <w:szCs w:val="22"/>
            </w:rPr>
          </w:pPr>
          <w:hyperlink w:anchor="_Toc15968279" w:history="1">
            <w:r w:rsidRPr="00020D07">
              <w:rPr>
                <w:rStyle w:val="Hyperlink"/>
                <w:noProof/>
              </w:rPr>
              <w:t>Module 2 Assignment</w:t>
            </w:r>
            <w:r>
              <w:rPr>
                <w:noProof/>
                <w:webHidden/>
              </w:rPr>
              <w:tab/>
            </w:r>
            <w:r>
              <w:rPr>
                <w:noProof/>
                <w:webHidden/>
              </w:rPr>
              <w:fldChar w:fldCharType="begin"/>
            </w:r>
            <w:r>
              <w:rPr>
                <w:noProof/>
                <w:webHidden/>
              </w:rPr>
              <w:instrText xml:space="preserve"> PAGEREF _Toc15968279 \h </w:instrText>
            </w:r>
            <w:r>
              <w:rPr>
                <w:noProof/>
                <w:webHidden/>
              </w:rPr>
            </w:r>
            <w:r>
              <w:rPr>
                <w:noProof/>
                <w:webHidden/>
              </w:rPr>
              <w:fldChar w:fldCharType="separate"/>
            </w:r>
            <w:r>
              <w:rPr>
                <w:noProof/>
                <w:webHidden/>
              </w:rPr>
              <w:t>14</w:t>
            </w:r>
            <w:r>
              <w:rPr>
                <w:noProof/>
                <w:webHidden/>
              </w:rPr>
              <w:fldChar w:fldCharType="end"/>
            </w:r>
          </w:hyperlink>
        </w:p>
        <w:p w:rsidR="00493819" w:rsidRDefault="00493819">
          <w:pPr>
            <w:pStyle w:val="TOC2"/>
            <w:tabs>
              <w:tab w:val="right" w:leader="dot" w:pos="9350"/>
            </w:tabs>
            <w:rPr>
              <w:rFonts w:asciiTheme="minorHAnsi" w:hAnsiTheme="minorHAnsi"/>
              <w:noProof/>
              <w:sz w:val="22"/>
              <w:szCs w:val="22"/>
            </w:rPr>
          </w:pPr>
          <w:hyperlink w:anchor="_Toc15968280" w:history="1">
            <w:r w:rsidRPr="00020D07">
              <w:rPr>
                <w:rStyle w:val="Hyperlink"/>
                <w:noProof/>
              </w:rPr>
              <w:t>Planning an Office Records Clean-Up</w:t>
            </w:r>
            <w:r>
              <w:rPr>
                <w:noProof/>
                <w:webHidden/>
              </w:rPr>
              <w:tab/>
            </w:r>
            <w:r>
              <w:rPr>
                <w:noProof/>
                <w:webHidden/>
              </w:rPr>
              <w:fldChar w:fldCharType="begin"/>
            </w:r>
            <w:r>
              <w:rPr>
                <w:noProof/>
                <w:webHidden/>
              </w:rPr>
              <w:instrText xml:space="preserve"> PAGEREF _Toc15968280 \h </w:instrText>
            </w:r>
            <w:r>
              <w:rPr>
                <w:noProof/>
                <w:webHidden/>
              </w:rPr>
            </w:r>
            <w:r>
              <w:rPr>
                <w:noProof/>
                <w:webHidden/>
              </w:rPr>
              <w:fldChar w:fldCharType="separate"/>
            </w:r>
            <w:r>
              <w:rPr>
                <w:noProof/>
                <w:webHidden/>
              </w:rPr>
              <w:t>14</w:t>
            </w:r>
            <w:r>
              <w:rPr>
                <w:noProof/>
                <w:webHidden/>
              </w:rPr>
              <w:fldChar w:fldCharType="end"/>
            </w:r>
          </w:hyperlink>
        </w:p>
        <w:p w:rsidR="003938EE" w:rsidRDefault="003938EE">
          <w:r>
            <w:rPr>
              <w:b/>
              <w:bCs/>
              <w:noProof/>
            </w:rPr>
            <w:fldChar w:fldCharType="end"/>
          </w:r>
        </w:p>
      </w:sdtContent>
    </w:sdt>
    <w:p w:rsidR="00096DDA" w:rsidRDefault="00096DDA" w:rsidP="00271E88"/>
    <w:p w:rsidR="00096DDA" w:rsidRDefault="00096DDA" w:rsidP="00096DDA">
      <w:r>
        <w:br w:type="page"/>
      </w:r>
    </w:p>
    <w:p w:rsidR="004E50DC" w:rsidRPr="00271E88" w:rsidRDefault="004E50DC" w:rsidP="00271E88"/>
    <w:p w:rsidR="00557882" w:rsidRDefault="005B18FF" w:rsidP="00557882">
      <w:pPr>
        <w:pStyle w:val="Heading1"/>
      </w:pPr>
      <w:bookmarkStart w:id="1" w:name="_Toc507324145"/>
      <w:bookmarkStart w:id="2" w:name="_Toc510678293"/>
      <w:bookmarkStart w:id="3" w:name="_Toc514912198"/>
      <w:bookmarkStart w:id="4" w:name="_Toc15968265"/>
      <w:r>
        <w:t>Module</w:t>
      </w:r>
      <w:r w:rsidR="004C3574">
        <w:t xml:space="preserve"> 2</w:t>
      </w:r>
      <w:r w:rsidR="00557882">
        <w:t xml:space="preserve">:  </w:t>
      </w:r>
      <w:bookmarkEnd w:id="1"/>
      <w:r w:rsidR="002F0028">
        <w:t>Conduct a Records Clean-up</w:t>
      </w:r>
      <w:bookmarkEnd w:id="2"/>
      <w:bookmarkEnd w:id="3"/>
      <w:bookmarkEnd w:id="4"/>
    </w:p>
    <w:p w:rsidR="00557882" w:rsidRDefault="00557882" w:rsidP="00527187"/>
    <w:p w:rsidR="00C06664" w:rsidRDefault="00C06664" w:rsidP="00C06664">
      <w:pPr>
        <w:pStyle w:val="Heading2"/>
      </w:pPr>
      <w:bookmarkStart w:id="5" w:name="_Toc15968266"/>
      <w:r>
        <w:t>Objectives and Agenda</w:t>
      </w:r>
      <w:bookmarkEnd w:id="5"/>
    </w:p>
    <w:p w:rsidR="00C06664" w:rsidRDefault="00C06664" w:rsidP="00343F4B">
      <w:pPr>
        <w:pStyle w:val="ListParagraph"/>
        <w:numPr>
          <w:ilvl w:val="0"/>
          <w:numId w:val="20"/>
        </w:numPr>
      </w:pPr>
      <w:r>
        <w:t>Discuss things to look for when evaluating inventory information.</w:t>
      </w:r>
    </w:p>
    <w:p w:rsidR="00C06664" w:rsidRDefault="00C06664" w:rsidP="00343F4B">
      <w:pPr>
        <w:pStyle w:val="ListParagraph"/>
        <w:numPr>
          <w:ilvl w:val="0"/>
          <w:numId w:val="20"/>
        </w:numPr>
      </w:pPr>
      <w:r>
        <w:t xml:space="preserve">Recognize questions to ask when planning a records </w:t>
      </w:r>
      <w:proofErr w:type="gramStart"/>
      <w:r>
        <w:t>clean-up</w:t>
      </w:r>
      <w:proofErr w:type="gramEnd"/>
      <w:r>
        <w:t>.</w:t>
      </w:r>
    </w:p>
    <w:p w:rsidR="00A6705D" w:rsidRDefault="00A6705D" w:rsidP="00343F4B">
      <w:pPr>
        <w:pStyle w:val="ListParagraph"/>
        <w:numPr>
          <w:ilvl w:val="0"/>
          <w:numId w:val="20"/>
        </w:numPr>
      </w:pPr>
      <w:r>
        <w:t>Match records to a schedule or file plan and calculate disposition dates.</w:t>
      </w:r>
    </w:p>
    <w:p w:rsidR="00C06664" w:rsidRDefault="00C06664" w:rsidP="00527187"/>
    <w:p w:rsidR="00C06664" w:rsidRDefault="00C06664" w:rsidP="00C06664">
      <w:pPr>
        <w:pStyle w:val="Heading2"/>
      </w:pPr>
      <w:bookmarkStart w:id="6" w:name="_Toc15968267"/>
      <w:r>
        <w:t>Verify Inventory Information</w:t>
      </w:r>
      <w:bookmarkEnd w:id="6"/>
    </w:p>
    <w:p w:rsidR="00C06664" w:rsidRDefault="00C06664" w:rsidP="006E7315">
      <w:pPr>
        <w:pStyle w:val="ListParagraph"/>
        <w:numPr>
          <w:ilvl w:val="0"/>
          <w:numId w:val="76"/>
        </w:numPr>
      </w:pPr>
      <w:r>
        <w:t>Look for missing or incomplete information</w:t>
      </w:r>
      <w:r w:rsidR="007D08F7">
        <w:t>.</w:t>
      </w:r>
    </w:p>
    <w:p w:rsidR="00C06664" w:rsidRDefault="00C06664" w:rsidP="006E7315">
      <w:pPr>
        <w:pStyle w:val="ListParagraph"/>
        <w:numPr>
          <w:ilvl w:val="0"/>
          <w:numId w:val="76"/>
        </w:numPr>
      </w:pPr>
      <w:r>
        <w:t>Look for gaps in coverage</w:t>
      </w:r>
      <w:r w:rsidR="007D08F7">
        <w:t>.</w:t>
      </w:r>
    </w:p>
    <w:p w:rsidR="00C06664" w:rsidRDefault="00C06664" w:rsidP="006E7315">
      <w:pPr>
        <w:pStyle w:val="ListParagraph"/>
        <w:numPr>
          <w:ilvl w:val="0"/>
          <w:numId w:val="76"/>
        </w:numPr>
        <w:spacing w:after="1600"/>
      </w:pPr>
      <w:r>
        <w:t>Compare information gathered to records schedule or file plan</w:t>
      </w:r>
      <w:r w:rsidR="007D08F7">
        <w:t>.</w:t>
      </w:r>
    </w:p>
    <w:p w:rsidR="00FC3F61" w:rsidRDefault="00FC3F61" w:rsidP="00FC3F61">
      <w:pPr>
        <w:pStyle w:val="Heading2"/>
      </w:pPr>
      <w:bookmarkStart w:id="7" w:name="_Toc15968268"/>
      <w:r>
        <w:t>Matching Records to a Records Schedule</w:t>
      </w:r>
      <w:bookmarkEnd w:id="7"/>
    </w:p>
    <w:p w:rsidR="007D08F7" w:rsidRDefault="00FC3F61" w:rsidP="007D08F7">
      <w:pPr>
        <w:pStyle w:val="ListParagraph"/>
        <w:numPr>
          <w:ilvl w:val="0"/>
          <w:numId w:val="77"/>
        </w:numPr>
        <w:spacing w:after="240"/>
        <w:contextualSpacing w:val="0"/>
      </w:pPr>
      <w:r>
        <w:t xml:space="preserve">Compare the information you found in your inventory to your office file plan or approved agency records schedule.  </w:t>
      </w:r>
    </w:p>
    <w:p w:rsidR="007D08F7" w:rsidRDefault="00FC3F61" w:rsidP="007D08F7">
      <w:pPr>
        <w:pStyle w:val="ListParagraph"/>
        <w:numPr>
          <w:ilvl w:val="0"/>
          <w:numId w:val="77"/>
        </w:numPr>
        <w:spacing w:after="240"/>
        <w:contextualSpacing w:val="0"/>
      </w:pPr>
      <w:r>
        <w:t xml:space="preserve">Match the records to the schedule by reviewing the title of the record series, the description, and the disposition information.  </w:t>
      </w:r>
    </w:p>
    <w:p w:rsidR="00FC3F61" w:rsidRDefault="00FC3F61" w:rsidP="007D08F7">
      <w:pPr>
        <w:pStyle w:val="ListParagraph"/>
        <w:numPr>
          <w:ilvl w:val="0"/>
          <w:numId w:val="77"/>
        </w:numPr>
        <w:spacing w:after="240"/>
        <w:contextualSpacing w:val="0"/>
      </w:pPr>
      <w:r>
        <w:t>Ask, “Is this category a good fit?”  You do not want to force records into a category that is not a good fit for the records.</w:t>
      </w:r>
    </w:p>
    <w:p w:rsidR="00C06664" w:rsidRDefault="00C06664"/>
    <w:p w:rsidR="00E0003B" w:rsidRDefault="00E0003B">
      <w:pPr>
        <w:rPr>
          <w:b/>
          <w:spacing w:val="15"/>
        </w:rPr>
      </w:pPr>
      <w:r>
        <w:br w:type="page"/>
      </w:r>
    </w:p>
    <w:p w:rsidR="00C06664" w:rsidRDefault="00AA57D0" w:rsidP="00921A1E">
      <w:pPr>
        <w:pStyle w:val="Heading2"/>
      </w:pPr>
      <w:bookmarkStart w:id="8" w:name="_Toc15968269"/>
      <w:r>
        <w:lastRenderedPageBreak/>
        <w:t xml:space="preserve">Activity: </w:t>
      </w:r>
      <w:r w:rsidR="00921A1E">
        <w:t>Using a Records Schedule</w:t>
      </w:r>
      <w:bookmarkEnd w:id="8"/>
    </w:p>
    <w:p w:rsidR="00921A1E" w:rsidRDefault="00921A1E" w:rsidP="00527187">
      <w:r>
        <w:t>Use the Sample Records Schedule on the following pages to match the descriptions of records to their approved records schedule items.</w:t>
      </w:r>
    </w:p>
    <w:p w:rsidR="003D290D" w:rsidRDefault="003D290D"/>
    <w:p w:rsidR="00B11ECC" w:rsidRDefault="00B11ECC"/>
    <w:p w:rsidR="00B11ECC" w:rsidRDefault="00E80AFB" w:rsidP="00E80AFB">
      <w:pPr>
        <w:pStyle w:val="Heading2"/>
      </w:pPr>
      <w:bookmarkStart w:id="9" w:name="_Toc15968270"/>
      <w:r>
        <w:t>Activity: Using a Records Schedule - Notes</w:t>
      </w:r>
      <w:bookmarkEnd w:id="9"/>
    </w:p>
    <w:p w:rsidR="00E80AFB" w:rsidRDefault="00E80AFB"/>
    <w:p w:rsidR="00E80AFB" w:rsidRDefault="00E80AFB">
      <w:pPr>
        <w:sectPr w:rsidR="00E80AFB">
          <w:headerReference w:type="default" r:id="rId11"/>
          <w:footerReference w:type="default" r:id="rId12"/>
          <w:pgSz w:w="12240" w:h="15840"/>
          <w:pgMar w:top="1440" w:right="1440" w:bottom="1440" w:left="1440" w:header="720" w:footer="720" w:gutter="0"/>
          <w:cols w:space="720"/>
          <w:docGrid w:linePitch="360"/>
        </w:sectPr>
      </w:pPr>
    </w:p>
    <w:p w:rsidR="00955CBB" w:rsidRDefault="00955CBB" w:rsidP="00955CBB">
      <w:pPr>
        <w:pStyle w:val="Heading2"/>
      </w:pPr>
      <w:bookmarkStart w:id="10" w:name="_Toc15968271"/>
      <w:r>
        <w:lastRenderedPageBreak/>
        <w:t>Sample Records Schedule</w:t>
      </w:r>
      <w:r w:rsidR="00E80AFB">
        <w:t xml:space="preserve"> for </w:t>
      </w:r>
      <w:r w:rsidR="00A81A76">
        <w:t>Module Activities</w:t>
      </w:r>
      <w:bookmarkEnd w:id="10"/>
    </w:p>
    <w:p w:rsidR="00955CBB" w:rsidRDefault="00955CBB" w:rsidP="00955CBB"/>
    <w:tbl>
      <w:tblPr>
        <w:tblStyle w:val="TableGrid"/>
        <w:tblW w:w="0" w:type="auto"/>
        <w:tblLook w:val="04A0" w:firstRow="1" w:lastRow="0" w:firstColumn="1" w:lastColumn="0" w:noHBand="0" w:noVBand="1"/>
        <w:tblCaption w:val="Sample records schedule for Using a Records Schedule activity"/>
        <w:tblDescription w:val="The sample records schedule is laid out in a table with four columns.  Each row represents a record series.  The first column in each row contains the file code and series title for the records.  The second column contains a description of the records.  The third column contains the disposition instructions.  The fourth and last column contains a disposition authority number."/>
      </w:tblPr>
      <w:tblGrid>
        <w:gridCol w:w="2766"/>
        <w:gridCol w:w="3664"/>
        <w:gridCol w:w="2920"/>
      </w:tblGrid>
      <w:tr w:rsidR="00A81A76" w:rsidRPr="00F026DA" w:rsidTr="00A81A76">
        <w:trPr>
          <w:cantSplit/>
          <w:tblHeader/>
        </w:trPr>
        <w:tc>
          <w:tcPr>
            <w:tcW w:w="3505" w:type="dxa"/>
            <w:shd w:val="clear" w:color="auto" w:fill="E3F7FC" w:themeFill="background2" w:themeFillTint="33"/>
          </w:tcPr>
          <w:p w:rsidR="00A81A76" w:rsidRPr="00F026DA" w:rsidRDefault="00A81A76" w:rsidP="0035412D">
            <w:pPr>
              <w:rPr>
                <w:b/>
              </w:rPr>
            </w:pPr>
            <w:r w:rsidRPr="00F026DA">
              <w:rPr>
                <w:b/>
              </w:rPr>
              <w:t>File Code and Series Title</w:t>
            </w:r>
          </w:p>
        </w:tc>
        <w:tc>
          <w:tcPr>
            <w:tcW w:w="4950" w:type="dxa"/>
            <w:shd w:val="clear" w:color="auto" w:fill="E3F7FC" w:themeFill="background2" w:themeFillTint="33"/>
          </w:tcPr>
          <w:p w:rsidR="00A81A76" w:rsidRPr="00F026DA" w:rsidRDefault="00A81A76" w:rsidP="0035412D">
            <w:pPr>
              <w:rPr>
                <w:b/>
              </w:rPr>
            </w:pPr>
            <w:r w:rsidRPr="00F026DA">
              <w:rPr>
                <w:b/>
              </w:rPr>
              <w:t>Records Description</w:t>
            </w:r>
          </w:p>
        </w:tc>
        <w:tc>
          <w:tcPr>
            <w:tcW w:w="4410" w:type="dxa"/>
            <w:shd w:val="clear" w:color="auto" w:fill="E3F7FC" w:themeFill="background2" w:themeFillTint="33"/>
          </w:tcPr>
          <w:p w:rsidR="00A81A76" w:rsidRPr="00F026DA" w:rsidRDefault="00A81A76" w:rsidP="0035412D">
            <w:pPr>
              <w:rPr>
                <w:b/>
              </w:rPr>
            </w:pPr>
            <w:r w:rsidRPr="00F026DA">
              <w:rPr>
                <w:b/>
              </w:rPr>
              <w:t>Disposition Instructions</w:t>
            </w:r>
          </w:p>
        </w:tc>
      </w:tr>
      <w:tr w:rsidR="00A81A76" w:rsidRPr="00F026DA" w:rsidTr="00A81A76">
        <w:trPr>
          <w:cantSplit/>
          <w:trHeight w:val="1601"/>
        </w:trPr>
        <w:tc>
          <w:tcPr>
            <w:tcW w:w="3505" w:type="dxa"/>
            <w:shd w:val="clear" w:color="auto" w:fill="auto"/>
          </w:tcPr>
          <w:p w:rsidR="00A81A76" w:rsidRDefault="00A81A76" w:rsidP="00A81A76">
            <w:pPr>
              <w:widowControl w:val="0"/>
              <w:rPr>
                <w:rFonts w:ascii="Century Gothic" w:hAnsi="Century Gothic"/>
                <w:szCs w:val="24"/>
              </w:rPr>
            </w:pPr>
            <w:r>
              <w:rPr>
                <w:rFonts w:ascii="Century Gothic" w:hAnsi="Century Gothic"/>
                <w:szCs w:val="24"/>
              </w:rPr>
              <w:t>1.1-001</w:t>
            </w:r>
          </w:p>
          <w:p w:rsidR="00A81A76" w:rsidRPr="00A81A76" w:rsidRDefault="00A81A76" w:rsidP="00A81A76">
            <w:pPr>
              <w:widowControl w:val="0"/>
              <w:rPr>
                <w:rFonts w:ascii="Century Gothic" w:hAnsi="Century Gothic"/>
                <w:szCs w:val="24"/>
              </w:rPr>
            </w:pPr>
            <w:r>
              <w:rPr>
                <w:rFonts w:ascii="Century Gothic" w:hAnsi="Century Gothic"/>
                <w:szCs w:val="24"/>
              </w:rPr>
              <w:t>Financial Management and Reporting Administrative Records</w:t>
            </w:r>
          </w:p>
        </w:tc>
        <w:tc>
          <w:tcPr>
            <w:tcW w:w="4950" w:type="dxa"/>
            <w:shd w:val="clear" w:color="auto" w:fill="auto"/>
          </w:tcPr>
          <w:p w:rsidR="00A81A76" w:rsidRPr="00A81A76" w:rsidRDefault="00A81A76" w:rsidP="00A81A76">
            <w:pPr>
              <w:widowControl w:val="0"/>
              <w:rPr>
                <w:rFonts w:ascii="Century Gothic" w:hAnsi="Century Gothic"/>
                <w:szCs w:val="24"/>
              </w:rPr>
            </w:pPr>
            <w:r>
              <w:rPr>
                <w:rFonts w:ascii="Century Gothic" w:hAnsi="Century Gothic"/>
                <w:szCs w:val="24"/>
              </w:rPr>
              <w:t xml:space="preserve">Records related to managing financial activities and reporting.  Records </w:t>
            </w:r>
            <w:proofErr w:type="gramStart"/>
            <w:r>
              <w:rPr>
                <w:rFonts w:ascii="Century Gothic" w:hAnsi="Century Gothic"/>
                <w:szCs w:val="24"/>
              </w:rPr>
              <w:t>include:</w:t>
            </w:r>
            <w:proofErr w:type="gramEnd"/>
            <w:r w:rsidR="00117E73">
              <w:rPr>
                <w:rFonts w:ascii="Century Gothic" w:hAnsi="Century Gothic"/>
                <w:szCs w:val="24"/>
              </w:rPr>
              <w:t xml:space="preserve"> c</w:t>
            </w:r>
            <w:r>
              <w:rPr>
                <w:rFonts w:ascii="Century Gothic" w:hAnsi="Century Gothic"/>
                <w:szCs w:val="24"/>
              </w:rPr>
              <w:t>orrespondence, feeder reports, workload management and assignment records.</w:t>
            </w:r>
          </w:p>
        </w:tc>
        <w:tc>
          <w:tcPr>
            <w:tcW w:w="4410" w:type="dxa"/>
            <w:shd w:val="clear" w:color="auto" w:fill="auto"/>
          </w:tcPr>
          <w:p w:rsidR="00A81A76" w:rsidRDefault="00A81A76" w:rsidP="00A81A76">
            <w:pPr>
              <w:widowControl w:val="0"/>
              <w:rPr>
                <w:rFonts w:ascii="Century Gothic" w:hAnsi="Century Gothic"/>
                <w:szCs w:val="24"/>
              </w:rPr>
            </w:pPr>
            <w:r>
              <w:rPr>
                <w:rFonts w:ascii="Century Gothic" w:hAnsi="Century Gothic"/>
                <w:szCs w:val="24"/>
              </w:rPr>
              <w:t>Temporary.</w:t>
            </w:r>
          </w:p>
          <w:p w:rsidR="00A81A76" w:rsidRDefault="00A81A76" w:rsidP="00A81A76">
            <w:pPr>
              <w:widowControl w:val="0"/>
              <w:rPr>
                <w:rFonts w:ascii="Century Gothic" w:hAnsi="Century Gothic"/>
                <w:szCs w:val="24"/>
              </w:rPr>
            </w:pPr>
            <w:r>
              <w:rPr>
                <w:rFonts w:ascii="Century Gothic" w:hAnsi="Century Gothic"/>
                <w:szCs w:val="24"/>
              </w:rPr>
              <w:t>Destroy when 3 years old.</w:t>
            </w:r>
          </w:p>
          <w:p w:rsidR="00A81A76" w:rsidRDefault="00A81A76" w:rsidP="00A81A76">
            <w:pPr>
              <w:widowControl w:val="0"/>
              <w:rPr>
                <w:rFonts w:ascii="Century Gothic" w:hAnsi="Century Gothic"/>
                <w:szCs w:val="24"/>
              </w:rPr>
            </w:pPr>
          </w:p>
          <w:p w:rsidR="00A81A76" w:rsidRDefault="00A81A76" w:rsidP="00A81A76">
            <w:pPr>
              <w:widowControl w:val="0"/>
              <w:rPr>
                <w:rFonts w:ascii="Century Gothic" w:hAnsi="Century Gothic"/>
                <w:szCs w:val="24"/>
              </w:rPr>
            </w:pPr>
            <w:r>
              <w:rPr>
                <w:rFonts w:ascii="Century Gothic" w:hAnsi="Century Gothic"/>
                <w:szCs w:val="24"/>
              </w:rPr>
              <w:t>Disposition authority:</w:t>
            </w:r>
          </w:p>
          <w:p w:rsidR="00A81A76" w:rsidRPr="00A81A76" w:rsidRDefault="00A81A76" w:rsidP="00A81A76">
            <w:pPr>
              <w:widowControl w:val="0"/>
              <w:rPr>
                <w:rFonts w:ascii="Century Gothic" w:hAnsi="Century Gothic"/>
                <w:szCs w:val="24"/>
              </w:rPr>
            </w:pPr>
            <w:r>
              <w:rPr>
                <w:rFonts w:ascii="Century Gothic" w:hAnsi="Century Gothic"/>
                <w:szCs w:val="24"/>
              </w:rPr>
              <w:t>DAA-GRS-2016-0013-0001</w:t>
            </w:r>
          </w:p>
        </w:tc>
      </w:tr>
      <w:tr w:rsidR="00D56F20" w:rsidRPr="00F026DA" w:rsidTr="00A81A76">
        <w:trPr>
          <w:cantSplit/>
          <w:trHeight w:val="1601"/>
        </w:trPr>
        <w:tc>
          <w:tcPr>
            <w:tcW w:w="3505" w:type="dxa"/>
            <w:shd w:val="clear" w:color="auto" w:fill="auto"/>
          </w:tcPr>
          <w:p w:rsidR="00D56F20" w:rsidRDefault="00D56F20" w:rsidP="00A81A76">
            <w:pPr>
              <w:widowControl w:val="0"/>
              <w:rPr>
                <w:rFonts w:ascii="Century Gothic" w:hAnsi="Century Gothic"/>
                <w:szCs w:val="24"/>
              </w:rPr>
            </w:pPr>
            <w:r>
              <w:rPr>
                <w:rFonts w:ascii="Century Gothic" w:hAnsi="Century Gothic"/>
                <w:szCs w:val="24"/>
              </w:rPr>
              <w:t>1.1-010</w:t>
            </w:r>
          </w:p>
          <w:p w:rsidR="00D56F20" w:rsidRDefault="00D56F20" w:rsidP="00A81A76">
            <w:pPr>
              <w:widowControl w:val="0"/>
              <w:rPr>
                <w:rFonts w:ascii="Century Gothic" w:hAnsi="Century Gothic"/>
                <w:szCs w:val="24"/>
              </w:rPr>
            </w:pPr>
            <w:r>
              <w:rPr>
                <w:rFonts w:ascii="Century Gothic" w:hAnsi="Century Gothic"/>
                <w:szCs w:val="24"/>
              </w:rPr>
              <w:t>Financial Transaction Records</w:t>
            </w:r>
          </w:p>
        </w:tc>
        <w:tc>
          <w:tcPr>
            <w:tcW w:w="4950" w:type="dxa"/>
            <w:shd w:val="clear" w:color="auto" w:fill="auto"/>
          </w:tcPr>
          <w:p w:rsidR="00D56F20" w:rsidRDefault="00D56F20" w:rsidP="00A81A76">
            <w:pPr>
              <w:widowControl w:val="0"/>
              <w:rPr>
                <w:rFonts w:ascii="Century Gothic" w:hAnsi="Century Gothic"/>
                <w:szCs w:val="24"/>
              </w:rPr>
            </w:pPr>
            <w:r>
              <w:rPr>
                <w:rFonts w:ascii="Century Gothic" w:hAnsi="Century Gothic"/>
                <w:szCs w:val="24"/>
              </w:rPr>
              <w:t>Records related to procuring goods and services, paying bills, and accounting.  Records include contracts, requisitions, purchase orders, invoices, and leases.</w:t>
            </w:r>
          </w:p>
        </w:tc>
        <w:tc>
          <w:tcPr>
            <w:tcW w:w="4410" w:type="dxa"/>
            <w:shd w:val="clear" w:color="auto" w:fill="auto"/>
          </w:tcPr>
          <w:p w:rsidR="00D56F20" w:rsidRDefault="00D56F20" w:rsidP="00A81A76">
            <w:pPr>
              <w:widowControl w:val="0"/>
              <w:rPr>
                <w:rFonts w:ascii="Century Gothic" w:hAnsi="Century Gothic"/>
                <w:szCs w:val="24"/>
              </w:rPr>
            </w:pPr>
            <w:r>
              <w:rPr>
                <w:rFonts w:ascii="Century Gothic" w:hAnsi="Century Gothic"/>
                <w:szCs w:val="24"/>
              </w:rPr>
              <w:t>Temporary.</w:t>
            </w:r>
          </w:p>
          <w:p w:rsidR="00D56F20" w:rsidRDefault="00D56F20" w:rsidP="00A81A76">
            <w:pPr>
              <w:widowControl w:val="0"/>
              <w:rPr>
                <w:rFonts w:ascii="Century Gothic" w:hAnsi="Century Gothic"/>
                <w:szCs w:val="24"/>
              </w:rPr>
            </w:pPr>
            <w:r>
              <w:rPr>
                <w:rFonts w:ascii="Century Gothic" w:hAnsi="Century Gothic"/>
                <w:szCs w:val="24"/>
              </w:rPr>
              <w:t>Destroy 6 years after final payment or cancellation.</w:t>
            </w:r>
          </w:p>
          <w:p w:rsidR="00D56F20" w:rsidRDefault="00D56F20" w:rsidP="00A81A76">
            <w:pPr>
              <w:widowControl w:val="0"/>
              <w:rPr>
                <w:rFonts w:ascii="Century Gothic" w:hAnsi="Century Gothic"/>
                <w:szCs w:val="24"/>
              </w:rPr>
            </w:pPr>
          </w:p>
          <w:p w:rsidR="00D56F20" w:rsidRDefault="00D56F20" w:rsidP="00A81A76">
            <w:pPr>
              <w:widowControl w:val="0"/>
              <w:rPr>
                <w:rFonts w:ascii="Century Gothic" w:hAnsi="Century Gothic"/>
                <w:szCs w:val="24"/>
              </w:rPr>
            </w:pPr>
            <w:r>
              <w:rPr>
                <w:rFonts w:ascii="Century Gothic" w:hAnsi="Century Gothic"/>
                <w:szCs w:val="24"/>
              </w:rPr>
              <w:t>Disposition authority:</w:t>
            </w:r>
          </w:p>
          <w:p w:rsidR="00D56F20" w:rsidRDefault="00D56F20" w:rsidP="00D56F20">
            <w:pPr>
              <w:widowControl w:val="0"/>
              <w:rPr>
                <w:rFonts w:ascii="Century Gothic" w:hAnsi="Century Gothic"/>
                <w:szCs w:val="24"/>
              </w:rPr>
            </w:pPr>
            <w:r w:rsidRPr="00D56F20">
              <w:rPr>
                <w:rFonts w:ascii="Century Gothic" w:hAnsi="Century Gothic"/>
                <w:szCs w:val="24"/>
              </w:rPr>
              <w:t>DAA-GRS2013-0003-0001</w:t>
            </w:r>
          </w:p>
        </w:tc>
      </w:tr>
      <w:tr w:rsidR="00222A93" w:rsidRPr="00F026DA" w:rsidTr="00A81A76">
        <w:trPr>
          <w:cantSplit/>
          <w:trHeight w:val="1601"/>
        </w:trPr>
        <w:tc>
          <w:tcPr>
            <w:tcW w:w="3505" w:type="dxa"/>
            <w:shd w:val="clear" w:color="auto" w:fill="auto"/>
          </w:tcPr>
          <w:p w:rsidR="00222A93" w:rsidRDefault="00222A93" w:rsidP="00A81A76">
            <w:pPr>
              <w:widowControl w:val="0"/>
              <w:rPr>
                <w:rFonts w:ascii="Century Gothic" w:hAnsi="Century Gothic"/>
                <w:szCs w:val="24"/>
              </w:rPr>
            </w:pPr>
            <w:r>
              <w:rPr>
                <w:rFonts w:ascii="Century Gothic" w:hAnsi="Century Gothic"/>
                <w:szCs w:val="24"/>
              </w:rPr>
              <w:t>1.1-009</w:t>
            </w:r>
          </w:p>
          <w:p w:rsidR="00222A93" w:rsidRDefault="00222A93" w:rsidP="00A81A76">
            <w:pPr>
              <w:widowControl w:val="0"/>
              <w:rPr>
                <w:rFonts w:ascii="Century Gothic" w:hAnsi="Century Gothic"/>
                <w:szCs w:val="24"/>
              </w:rPr>
            </w:pPr>
            <w:r>
              <w:rPr>
                <w:rFonts w:ascii="Century Gothic" w:hAnsi="Century Gothic"/>
                <w:szCs w:val="24"/>
              </w:rPr>
              <w:t>Program Subject Files</w:t>
            </w:r>
          </w:p>
        </w:tc>
        <w:tc>
          <w:tcPr>
            <w:tcW w:w="4950" w:type="dxa"/>
            <w:shd w:val="clear" w:color="auto" w:fill="auto"/>
          </w:tcPr>
          <w:p w:rsidR="00222A93" w:rsidRDefault="00222A93" w:rsidP="00A81A76">
            <w:pPr>
              <w:widowControl w:val="0"/>
              <w:rPr>
                <w:rFonts w:ascii="Century Gothic" w:hAnsi="Century Gothic"/>
                <w:szCs w:val="24"/>
              </w:rPr>
            </w:pPr>
            <w:r>
              <w:rPr>
                <w:rFonts w:ascii="Century Gothic" w:hAnsi="Century Gothic"/>
                <w:szCs w:val="24"/>
              </w:rPr>
              <w:t>Program correspondence, decision memos, and other documents accumulated by the Division Director.</w:t>
            </w:r>
          </w:p>
        </w:tc>
        <w:tc>
          <w:tcPr>
            <w:tcW w:w="4410" w:type="dxa"/>
            <w:shd w:val="clear" w:color="auto" w:fill="auto"/>
          </w:tcPr>
          <w:p w:rsidR="00222A93" w:rsidRDefault="00222A93" w:rsidP="00A81A76">
            <w:pPr>
              <w:widowControl w:val="0"/>
              <w:rPr>
                <w:rFonts w:ascii="Century Gothic" w:hAnsi="Century Gothic"/>
                <w:szCs w:val="24"/>
              </w:rPr>
            </w:pPr>
            <w:r>
              <w:rPr>
                <w:rFonts w:ascii="Century Gothic" w:hAnsi="Century Gothic"/>
                <w:szCs w:val="24"/>
              </w:rPr>
              <w:t>Permanent.</w:t>
            </w:r>
          </w:p>
          <w:p w:rsidR="00222A93" w:rsidRDefault="00222A93" w:rsidP="00A81A76">
            <w:pPr>
              <w:widowControl w:val="0"/>
              <w:rPr>
                <w:rFonts w:ascii="Century Gothic" w:hAnsi="Century Gothic"/>
                <w:szCs w:val="24"/>
              </w:rPr>
            </w:pPr>
            <w:r>
              <w:rPr>
                <w:rFonts w:ascii="Century Gothic" w:hAnsi="Century Gothic"/>
                <w:szCs w:val="24"/>
              </w:rPr>
              <w:t>Cut off at the end of each Fiscal Year.  Retire to records center when 3 years old.  Transfer to NARA when 10 years old.</w:t>
            </w:r>
          </w:p>
          <w:p w:rsidR="00222A93" w:rsidRDefault="00222A93" w:rsidP="00A81A76">
            <w:pPr>
              <w:widowControl w:val="0"/>
              <w:rPr>
                <w:rFonts w:ascii="Century Gothic" w:hAnsi="Century Gothic"/>
                <w:szCs w:val="24"/>
              </w:rPr>
            </w:pPr>
          </w:p>
          <w:p w:rsidR="00222A93" w:rsidRDefault="00222A93" w:rsidP="00A81A76">
            <w:pPr>
              <w:widowControl w:val="0"/>
              <w:rPr>
                <w:rFonts w:ascii="Century Gothic" w:hAnsi="Century Gothic"/>
                <w:szCs w:val="24"/>
              </w:rPr>
            </w:pPr>
            <w:r>
              <w:rPr>
                <w:rFonts w:ascii="Century Gothic" w:hAnsi="Century Gothic"/>
                <w:szCs w:val="24"/>
              </w:rPr>
              <w:t>Disposition authority:</w:t>
            </w:r>
          </w:p>
          <w:p w:rsidR="00222A93" w:rsidRDefault="00222A93" w:rsidP="00A81A76">
            <w:pPr>
              <w:widowControl w:val="0"/>
              <w:rPr>
                <w:rFonts w:ascii="Century Gothic" w:hAnsi="Century Gothic"/>
                <w:szCs w:val="24"/>
              </w:rPr>
            </w:pPr>
            <w:r w:rsidRPr="00A81A76">
              <w:rPr>
                <w:rFonts w:asciiTheme="minorHAnsi" w:hAnsiTheme="minorHAnsi"/>
                <w:szCs w:val="24"/>
              </w:rPr>
              <w:t>N1-62-94-01</w:t>
            </w:r>
          </w:p>
        </w:tc>
      </w:tr>
      <w:tr w:rsidR="00A81A76" w:rsidRPr="00F026DA" w:rsidTr="00A81A76">
        <w:trPr>
          <w:cantSplit/>
        </w:trPr>
        <w:tc>
          <w:tcPr>
            <w:tcW w:w="3505" w:type="dxa"/>
          </w:tcPr>
          <w:p w:rsidR="00A81A76" w:rsidRPr="007B7A24" w:rsidRDefault="00A81A76" w:rsidP="0035412D">
            <w:pPr>
              <w:widowControl w:val="0"/>
              <w:rPr>
                <w:rFonts w:ascii="Century Gothic" w:hAnsi="Century Gothic"/>
                <w:szCs w:val="24"/>
              </w:rPr>
            </w:pPr>
            <w:r w:rsidRPr="007B7A24">
              <w:rPr>
                <w:rFonts w:ascii="Century Gothic" w:hAnsi="Century Gothic"/>
                <w:szCs w:val="24"/>
              </w:rPr>
              <w:lastRenderedPageBreak/>
              <w:t xml:space="preserve">2.01-060 </w:t>
            </w:r>
          </w:p>
          <w:p w:rsidR="00A81A76" w:rsidRPr="00F026DA" w:rsidRDefault="00A81A76" w:rsidP="0035412D">
            <w:pPr>
              <w:widowControl w:val="0"/>
              <w:rPr>
                <w:rFonts w:ascii="Century Gothic" w:hAnsi="Century Gothic"/>
                <w:b/>
                <w:szCs w:val="24"/>
              </w:rPr>
            </w:pPr>
            <w:r w:rsidRPr="00F026DA">
              <w:rPr>
                <w:rFonts w:ascii="Century Gothic" w:hAnsi="Century Gothic"/>
                <w:szCs w:val="24"/>
              </w:rPr>
              <w:t>Financial Mgmt. and Reporting Records. Contract appeals case files.</w:t>
            </w:r>
          </w:p>
          <w:p w:rsidR="00A81A76" w:rsidRPr="00F026DA" w:rsidRDefault="00A81A76" w:rsidP="0035412D">
            <w:pPr>
              <w:rPr>
                <w:szCs w:val="24"/>
              </w:rPr>
            </w:pPr>
          </w:p>
        </w:tc>
        <w:tc>
          <w:tcPr>
            <w:tcW w:w="4950" w:type="dxa"/>
          </w:tcPr>
          <w:p w:rsidR="00A81A76" w:rsidRPr="00F026DA" w:rsidRDefault="00A81A76" w:rsidP="0035412D">
            <w:pPr>
              <w:widowControl w:val="0"/>
              <w:rPr>
                <w:rFonts w:ascii="Century Gothic" w:hAnsi="Century Gothic"/>
                <w:szCs w:val="24"/>
              </w:rPr>
            </w:pPr>
            <w:r w:rsidRPr="00F026DA">
              <w:rPr>
                <w:rFonts w:ascii="Century Gothic" w:hAnsi="Century Gothic"/>
                <w:szCs w:val="24"/>
              </w:rPr>
              <w:t xml:space="preserve">Records of contract appeals arising under the Contracts Dispute Act. Includes: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notice of appeal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acknowledgment of notice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correspondence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copies of contracts, plans, specifications, exhibits,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change orders, and amendments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hearing transcripts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documents received from concerned parties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final decisions </w:t>
            </w:r>
          </w:p>
          <w:p w:rsidR="00A81A76" w:rsidRPr="00F026DA" w:rsidRDefault="00A81A76" w:rsidP="00343F4B">
            <w:pPr>
              <w:pStyle w:val="ListParagraph"/>
              <w:widowControl w:val="0"/>
              <w:numPr>
                <w:ilvl w:val="0"/>
                <w:numId w:val="11"/>
              </w:numPr>
              <w:rPr>
                <w:rFonts w:ascii="Century Gothic" w:hAnsi="Century Gothic"/>
                <w:szCs w:val="24"/>
              </w:rPr>
            </w:pPr>
            <w:r w:rsidRPr="00F026DA">
              <w:rPr>
                <w:rFonts w:ascii="Century Gothic" w:hAnsi="Century Gothic"/>
                <w:szCs w:val="24"/>
              </w:rPr>
              <w:t xml:space="preserve">other related papers </w:t>
            </w:r>
          </w:p>
          <w:p w:rsidR="00A81A76" w:rsidRPr="00F026DA" w:rsidRDefault="00A81A76" w:rsidP="0035412D">
            <w:pPr>
              <w:widowControl w:val="0"/>
              <w:rPr>
                <w:szCs w:val="24"/>
              </w:rPr>
            </w:pPr>
          </w:p>
        </w:tc>
        <w:tc>
          <w:tcPr>
            <w:tcW w:w="4410" w:type="dxa"/>
          </w:tcPr>
          <w:p w:rsidR="00A81A76" w:rsidRPr="00F026DA" w:rsidRDefault="00A81A76" w:rsidP="0035412D">
            <w:pPr>
              <w:widowControl w:val="0"/>
              <w:rPr>
                <w:rFonts w:ascii="Century Gothic" w:hAnsi="Century Gothic"/>
                <w:szCs w:val="24"/>
              </w:rPr>
            </w:pPr>
            <w:r w:rsidRPr="00F026DA">
              <w:rPr>
                <w:rFonts w:ascii="Century Gothic" w:hAnsi="Century Gothic"/>
                <w:szCs w:val="24"/>
              </w:rPr>
              <w:t xml:space="preserve">Temporary. </w:t>
            </w:r>
          </w:p>
          <w:p w:rsidR="00A81A76" w:rsidRPr="00F026DA" w:rsidRDefault="00A81A76" w:rsidP="0035412D">
            <w:pPr>
              <w:widowControl w:val="0"/>
              <w:rPr>
                <w:rFonts w:ascii="Century Gothic" w:hAnsi="Century Gothic"/>
                <w:szCs w:val="24"/>
              </w:rPr>
            </w:pPr>
            <w:r w:rsidRPr="00F026DA">
              <w:rPr>
                <w:rFonts w:ascii="Century Gothic" w:hAnsi="Century Gothic"/>
                <w:szCs w:val="24"/>
              </w:rPr>
              <w:t xml:space="preserve">Destroy 1 year after final resolution, but longer retention </w:t>
            </w:r>
            <w:proofErr w:type="gramStart"/>
            <w:r w:rsidRPr="00F026DA">
              <w:rPr>
                <w:rFonts w:ascii="Century Gothic" w:hAnsi="Century Gothic"/>
                <w:szCs w:val="24"/>
              </w:rPr>
              <w:t>is authorized</w:t>
            </w:r>
            <w:proofErr w:type="gramEnd"/>
            <w:r w:rsidRPr="00F026DA">
              <w:rPr>
                <w:rFonts w:ascii="Century Gothic" w:hAnsi="Century Gothic"/>
                <w:szCs w:val="24"/>
              </w:rPr>
              <w:t xml:space="preserve"> if required for business use.</w:t>
            </w:r>
          </w:p>
          <w:p w:rsidR="00A81A76" w:rsidRDefault="00A81A76" w:rsidP="0035412D">
            <w:pPr>
              <w:rPr>
                <w:szCs w:val="24"/>
              </w:rPr>
            </w:pPr>
          </w:p>
          <w:p w:rsidR="00A81A76" w:rsidRPr="00A81A76" w:rsidRDefault="00A81A76" w:rsidP="0035412D">
            <w:pPr>
              <w:rPr>
                <w:rFonts w:ascii="Century Gothic" w:hAnsi="Century Gothic"/>
                <w:szCs w:val="24"/>
              </w:rPr>
            </w:pPr>
            <w:r w:rsidRPr="00A81A76">
              <w:rPr>
                <w:rFonts w:ascii="Century Gothic" w:hAnsi="Century Gothic"/>
                <w:szCs w:val="24"/>
              </w:rPr>
              <w:t xml:space="preserve">Disposition authority: </w:t>
            </w:r>
          </w:p>
          <w:p w:rsidR="00A81A76" w:rsidRPr="00F026DA" w:rsidRDefault="00A81A76" w:rsidP="0035412D">
            <w:pPr>
              <w:rPr>
                <w:szCs w:val="24"/>
              </w:rPr>
            </w:pPr>
            <w:r w:rsidRPr="00A81A76">
              <w:rPr>
                <w:rFonts w:ascii="Century Gothic" w:hAnsi="Century Gothic"/>
                <w:szCs w:val="24"/>
              </w:rPr>
              <w:t>N1-62-93-02</w:t>
            </w:r>
          </w:p>
        </w:tc>
      </w:tr>
      <w:tr w:rsidR="00A81A76" w:rsidRPr="00F026DA" w:rsidTr="00A81A76">
        <w:trPr>
          <w:cantSplit/>
        </w:trPr>
        <w:tc>
          <w:tcPr>
            <w:tcW w:w="3505" w:type="dxa"/>
          </w:tcPr>
          <w:p w:rsidR="00A81A76" w:rsidRPr="007B7A24" w:rsidRDefault="00A81A76" w:rsidP="0035412D">
            <w:pPr>
              <w:widowControl w:val="0"/>
              <w:rPr>
                <w:rFonts w:ascii="Century Gothic" w:hAnsi="Century Gothic"/>
                <w:szCs w:val="24"/>
              </w:rPr>
            </w:pPr>
            <w:r w:rsidRPr="007B7A24">
              <w:rPr>
                <w:rFonts w:ascii="Century Gothic" w:hAnsi="Century Gothic"/>
                <w:szCs w:val="24"/>
              </w:rPr>
              <w:t xml:space="preserve">2.05 </w:t>
            </w:r>
          </w:p>
          <w:p w:rsidR="00A81A76" w:rsidRPr="00F026DA" w:rsidRDefault="00A81A76" w:rsidP="0035412D">
            <w:pPr>
              <w:widowControl w:val="0"/>
              <w:rPr>
                <w:rFonts w:ascii="Century Gothic" w:hAnsi="Century Gothic"/>
                <w:szCs w:val="24"/>
              </w:rPr>
            </w:pPr>
            <w:r w:rsidRPr="00F026DA">
              <w:rPr>
                <w:rFonts w:ascii="Century Gothic" w:hAnsi="Century Gothic"/>
                <w:szCs w:val="24"/>
              </w:rPr>
              <w:t>Employee</w:t>
            </w:r>
            <w:r w:rsidRPr="00F026DA">
              <w:rPr>
                <w:rFonts w:ascii="Century Gothic" w:hAnsi="Century Gothic"/>
                <w:b/>
                <w:szCs w:val="24"/>
              </w:rPr>
              <w:t xml:space="preserve"> </w:t>
            </w:r>
            <w:r w:rsidRPr="00F026DA">
              <w:rPr>
                <w:rFonts w:ascii="Century Gothic" w:hAnsi="Century Gothic"/>
                <w:szCs w:val="24"/>
              </w:rPr>
              <w:t>Separation Records.</w:t>
            </w:r>
          </w:p>
          <w:p w:rsidR="00A81A76" w:rsidRPr="00F026DA" w:rsidRDefault="00A81A76" w:rsidP="0035412D">
            <w:pPr>
              <w:widowControl w:val="0"/>
              <w:rPr>
                <w:rFonts w:ascii="Century Gothic" w:hAnsi="Century Gothic"/>
                <w:szCs w:val="24"/>
              </w:rPr>
            </w:pPr>
            <w:r w:rsidRPr="00F026DA">
              <w:rPr>
                <w:rFonts w:ascii="Century Gothic" w:hAnsi="Century Gothic"/>
                <w:szCs w:val="24"/>
              </w:rPr>
              <w:t xml:space="preserve">Records documenting capture of institutional and specialized knowledge. </w:t>
            </w:r>
          </w:p>
          <w:p w:rsidR="00A81A76" w:rsidRPr="00F026DA" w:rsidRDefault="00A81A76" w:rsidP="0035412D">
            <w:pPr>
              <w:rPr>
                <w:szCs w:val="24"/>
              </w:rPr>
            </w:pPr>
          </w:p>
        </w:tc>
        <w:tc>
          <w:tcPr>
            <w:tcW w:w="4950" w:type="dxa"/>
          </w:tcPr>
          <w:p w:rsidR="00A81A76" w:rsidRPr="00F026DA" w:rsidRDefault="00A81A76" w:rsidP="0035412D">
            <w:pPr>
              <w:widowControl w:val="0"/>
              <w:rPr>
                <w:rFonts w:ascii="Century Gothic" w:hAnsi="Century Gothic"/>
                <w:szCs w:val="24"/>
              </w:rPr>
            </w:pPr>
            <w:r w:rsidRPr="00F026DA">
              <w:rPr>
                <w:rFonts w:ascii="Century Gothic" w:hAnsi="Century Gothic"/>
                <w:szCs w:val="24"/>
              </w:rPr>
              <w:t xml:space="preserve">Includes status updates on current and pending assignments, contact information for sources, and other job-related information an office may choose to obtain from a departing employee. </w:t>
            </w:r>
          </w:p>
          <w:p w:rsidR="00A81A76" w:rsidRPr="00F026DA" w:rsidRDefault="00A81A76" w:rsidP="0035412D">
            <w:pPr>
              <w:widowControl w:val="0"/>
              <w:rPr>
                <w:rFonts w:ascii="Century Gothic" w:hAnsi="Century Gothic"/>
                <w:szCs w:val="24"/>
              </w:rPr>
            </w:pPr>
          </w:p>
          <w:p w:rsidR="00A81A76" w:rsidRPr="00F026DA" w:rsidRDefault="00A81A76" w:rsidP="0035412D">
            <w:pPr>
              <w:widowControl w:val="0"/>
              <w:rPr>
                <w:rFonts w:ascii="Century Gothic" w:hAnsi="Century Gothic"/>
                <w:szCs w:val="24"/>
              </w:rPr>
            </w:pPr>
            <w:r w:rsidRPr="00F026DA">
              <w:rPr>
                <w:rFonts w:ascii="Century Gothic" w:hAnsi="Century Gothic"/>
                <w:szCs w:val="24"/>
              </w:rPr>
              <w:t xml:space="preserve">Exclusion: Formal oral histories recorded with an employee before </w:t>
            </w:r>
            <w:proofErr w:type="gramStart"/>
            <w:r w:rsidRPr="00F026DA">
              <w:rPr>
                <w:rFonts w:ascii="Century Gothic" w:hAnsi="Century Gothic"/>
                <w:szCs w:val="24"/>
              </w:rPr>
              <w:t>his/her departure are not covered by this item</w:t>
            </w:r>
            <w:proofErr w:type="gramEnd"/>
            <w:r w:rsidRPr="00F026DA">
              <w:rPr>
                <w:rFonts w:ascii="Century Gothic" w:hAnsi="Century Gothic"/>
                <w:szCs w:val="24"/>
              </w:rPr>
              <w:t xml:space="preserve">. These </w:t>
            </w:r>
            <w:proofErr w:type="gramStart"/>
            <w:r w:rsidRPr="00F026DA">
              <w:rPr>
                <w:rFonts w:ascii="Century Gothic" w:hAnsi="Century Gothic"/>
                <w:szCs w:val="24"/>
              </w:rPr>
              <w:t>must be scheduled</w:t>
            </w:r>
            <w:proofErr w:type="gramEnd"/>
            <w:r w:rsidRPr="00F026DA">
              <w:rPr>
                <w:rFonts w:ascii="Century Gothic" w:hAnsi="Century Gothic"/>
                <w:szCs w:val="24"/>
              </w:rPr>
              <w:t xml:space="preserve"> separately by the agency. </w:t>
            </w:r>
          </w:p>
          <w:p w:rsidR="00A81A76" w:rsidRPr="00F026DA" w:rsidRDefault="00A81A76" w:rsidP="0035412D">
            <w:pPr>
              <w:widowControl w:val="0"/>
              <w:ind w:left="360"/>
              <w:rPr>
                <w:szCs w:val="24"/>
              </w:rPr>
            </w:pPr>
          </w:p>
        </w:tc>
        <w:tc>
          <w:tcPr>
            <w:tcW w:w="4410" w:type="dxa"/>
          </w:tcPr>
          <w:p w:rsidR="00A81A76" w:rsidRPr="00F026DA" w:rsidRDefault="00A81A76" w:rsidP="0035412D">
            <w:pPr>
              <w:widowControl w:val="0"/>
              <w:rPr>
                <w:rFonts w:ascii="Century Gothic" w:hAnsi="Century Gothic"/>
                <w:szCs w:val="24"/>
              </w:rPr>
            </w:pPr>
            <w:r w:rsidRPr="00F026DA">
              <w:rPr>
                <w:rFonts w:ascii="Century Gothic" w:hAnsi="Century Gothic"/>
                <w:szCs w:val="24"/>
              </w:rPr>
              <w:t xml:space="preserve">Temporary. </w:t>
            </w:r>
          </w:p>
          <w:p w:rsidR="00A81A76" w:rsidRDefault="00A81A76" w:rsidP="0035412D">
            <w:pPr>
              <w:widowControl w:val="0"/>
              <w:rPr>
                <w:rFonts w:ascii="Century Gothic" w:hAnsi="Century Gothic"/>
                <w:szCs w:val="24"/>
              </w:rPr>
            </w:pPr>
            <w:r w:rsidRPr="00F026DA">
              <w:rPr>
                <w:rFonts w:ascii="Century Gothic" w:hAnsi="Century Gothic"/>
                <w:szCs w:val="24"/>
              </w:rPr>
              <w:t>Destroy when no longer required for business use.</w:t>
            </w:r>
          </w:p>
          <w:p w:rsidR="00A81A76" w:rsidRDefault="00A81A76" w:rsidP="0035412D">
            <w:pPr>
              <w:widowControl w:val="0"/>
              <w:rPr>
                <w:rFonts w:ascii="Century Gothic" w:hAnsi="Century Gothic"/>
                <w:szCs w:val="24"/>
              </w:rPr>
            </w:pPr>
          </w:p>
          <w:p w:rsidR="00A81A76" w:rsidRDefault="00A81A76" w:rsidP="0035412D">
            <w:pPr>
              <w:widowControl w:val="0"/>
              <w:rPr>
                <w:rFonts w:ascii="Century Gothic" w:hAnsi="Century Gothic"/>
                <w:szCs w:val="24"/>
              </w:rPr>
            </w:pPr>
            <w:r>
              <w:rPr>
                <w:rFonts w:ascii="Century Gothic" w:hAnsi="Century Gothic"/>
                <w:szCs w:val="24"/>
              </w:rPr>
              <w:t>Disposition authority:</w:t>
            </w:r>
          </w:p>
          <w:p w:rsidR="00A81A76" w:rsidRPr="00F026DA" w:rsidRDefault="00A81A76" w:rsidP="0035412D">
            <w:pPr>
              <w:widowControl w:val="0"/>
              <w:rPr>
                <w:rFonts w:ascii="Century Gothic" w:hAnsi="Century Gothic"/>
                <w:szCs w:val="24"/>
              </w:rPr>
            </w:pPr>
            <w:r w:rsidRPr="00F026DA">
              <w:rPr>
                <w:rFonts w:ascii="Century Gothic" w:hAnsi="Century Gothic"/>
                <w:color w:val="000000" w:themeColor="text1"/>
                <w:kern w:val="24"/>
                <w:szCs w:val="24"/>
              </w:rPr>
              <w:t>N1-62-93-03</w:t>
            </w:r>
          </w:p>
          <w:p w:rsidR="00A81A76" w:rsidRPr="00F026DA" w:rsidRDefault="00A81A76" w:rsidP="0035412D">
            <w:pPr>
              <w:rPr>
                <w:szCs w:val="24"/>
              </w:rPr>
            </w:pPr>
          </w:p>
        </w:tc>
      </w:tr>
      <w:tr w:rsidR="00A81A76" w:rsidRPr="00F026DA" w:rsidTr="00A81A76">
        <w:trPr>
          <w:cantSplit/>
        </w:trPr>
        <w:tc>
          <w:tcPr>
            <w:tcW w:w="3505" w:type="dxa"/>
          </w:tcPr>
          <w:p w:rsidR="00A81A76" w:rsidRPr="00F026DA" w:rsidRDefault="00A81A76" w:rsidP="0035412D">
            <w:pPr>
              <w:rPr>
                <w:rFonts w:ascii="Century Gothic" w:hAnsi="Century Gothic"/>
                <w:szCs w:val="24"/>
              </w:rPr>
            </w:pPr>
            <w:r w:rsidRPr="00F026DA">
              <w:rPr>
                <w:rFonts w:ascii="Century Gothic" w:hAnsi="Century Gothic"/>
                <w:szCs w:val="24"/>
              </w:rPr>
              <w:lastRenderedPageBreak/>
              <w:t xml:space="preserve">2.08-040 </w:t>
            </w:r>
          </w:p>
          <w:p w:rsidR="00A81A76" w:rsidRPr="00F026DA" w:rsidRDefault="00A81A76" w:rsidP="0035412D">
            <w:pPr>
              <w:rPr>
                <w:szCs w:val="24"/>
              </w:rPr>
            </w:pPr>
            <w:r w:rsidRPr="00F026DA">
              <w:rPr>
                <w:rFonts w:ascii="Century Gothic" w:hAnsi="Century Gothic"/>
                <w:szCs w:val="24"/>
              </w:rPr>
              <w:t>Employee Ethics Records.  Office of Government Ethics program questionnaire records.</w:t>
            </w:r>
          </w:p>
        </w:tc>
        <w:tc>
          <w:tcPr>
            <w:tcW w:w="4950" w:type="dxa"/>
          </w:tcPr>
          <w:p w:rsidR="00A81A76" w:rsidRPr="00F026DA" w:rsidRDefault="00A81A76" w:rsidP="0035412D">
            <w:pPr>
              <w:rPr>
                <w:szCs w:val="24"/>
              </w:rPr>
            </w:pPr>
            <w:r w:rsidRPr="00F026DA">
              <w:rPr>
                <w:rFonts w:ascii="Century Gothic" w:hAnsi="Century Gothic"/>
                <w:szCs w:val="24"/>
              </w:rPr>
              <w:t>Questionnaires completed by ethics officials, such as the “Annual Agency Ethics Program Questionnaire,” the “Annual Agency Ethics Officer (DAEO) Survey,” and other questionnaires and surveys, including records created or collected to prepare responses to ethics program questionnaires and surveys.</w:t>
            </w:r>
          </w:p>
        </w:tc>
        <w:tc>
          <w:tcPr>
            <w:tcW w:w="4410" w:type="dxa"/>
          </w:tcPr>
          <w:p w:rsidR="00A81A76" w:rsidRDefault="00A81A76" w:rsidP="0035412D">
            <w:pPr>
              <w:rPr>
                <w:rFonts w:asciiTheme="minorHAnsi" w:hAnsiTheme="minorHAnsi"/>
                <w:szCs w:val="24"/>
              </w:rPr>
            </w:pPr>
            <w:r w:rsidRPr="00593BDE">
              <w:rPr>
                <w:rFonts w:asciiTheme="minorHAnsi" w:hAnsiTheme="minorHAnsi"/>
                <w:szCs w:val="24"/>
              </w:rPr>
              <w:t xml:space="preserve">Temporary. Destroy 3 years after submission, but longer retention </w:t>
            </w:r>
            <w:proofErr w:type="gramStart"/>
            <w:r w:rsidRPr="00593BDE">
              <w:rPr>
                <w:rFonts w:asciiTheme="minorHAnsi" w:hAnsiTheme="minorHAnsi"/>
                <w:szCs w:val="24"/>
              </w:rPr>
              <w:t>is authorized</w:t>
            </w:r>
            <w:proofErr w:type="gramEnd"/>
            <w:r w:rsidRPr="00593BDE">
              <w:rPr>
                <w:rFonts w:asciiTheme="minorHAnsi" w:hAnsiTheme="minorHAnsi"/>
                <w:szCs w:val="24"/>
              </w:rPr>
              <w:t xml:space="preserve"> if required for business use.</w:t>
            </w:r>
          </w:p>
          <w:p w:rsidR="00A81A76" w:rsidRDefault="00A81A76" w:rsidP="0035412D">
            <w:pPr>
              <w:rPr>
                <w:rFonts w:asciiTheme="minorHAnsi" w:hAnsiTheme="minorHAnsi"/>
                <w:szCs w:val="24"/>
              </w:rPr>
            </w:pPr>
          </w:p>
          <w:p w:rsidR="00A81A76" w:rsidRDefault="00A81A76" w:rsidP="0035412D">
            <w:pPr>
              <w:rPr>
                <w:rFonts w:asciiTheme="minorHAnsi" w:hAnsiTheme="minorHAnsi"/>
                <w:szCs w:val="24"/>
              </w:rPr>
            </w:pPr>
            <w:r>
              <w:rPr>
                <w:rFonts w:asciiTheme="minorHAnsi" w:hAnsiTheme="minorHAnsi"/>
                <w:szCs w:val="24"/>
              </w:rPr>
              <w:t xml:space="preserve">Disposition authority: </w:t>
            </w:r>
          </w:p>
          <w:p w:rsidR="00A81A76" w:rsidRPr="00593BDE" w:rsidRDefault="00A81A76" w:rsidP="0035412D">
            <w:pPr>
              <w:rPr>
                <w:rFonts w:asciiTheme="minorHAnsi" w:hAnsiTheme="minorHAnsi"/>
                <w:szCs w:val="24"/>
              </w:rPr>
            </w:pPr>
            <w:r w:rsidRPr="00A81A76">
              <w:rPr>
                <w:rFonts w:asciiTheme="minorHAnsi" w:hAnsiTheme="minorHAnsi"/>
                <w:szCs w:val="24"/>
              </w:rPr>
              <w:t>N1-62-94-01</w:t>
            </w:r>
          </w:p>
        </w:tc>
      </w:tr>
      <w:tr w:rsidR="00A81A76" w:rsidRPr="00F026DA" w:rsidTr="00A81A76">
        <w:trPr>
          <w:cantSplit/>
        </w:trPr>
        <w:tc>
          <w:tcPr>
            <w:tcW w:w="3505" w:type="dxa"/>
          </w:tcPr>
          <w:p w:rsidR="00A81A76" w:rsidRPr="00F026DA" w:rsidRDefault="00A81A76" w:rsidP="0035412D">
            <w:pPr>
              <w:rPr>
                <w:rFonts w:asciiTheme="minorHAnsi" w:hAnsiTheme="minorHAnsi"/>
              </w:rPr>
            </w:pPr>
            <w:r w:rsidRPr="00F026DA">
              <w:rPr>
                <w:rFonts w:asciiTheme="minorHAnsi" w:hAnsiTheme="minorHAnsi"/>
              </w:rPr>
              <w:t>2.08-046 Employee Ethics Records.  Financial disclosure supporting documentation.</w:t>
            </w:r>
          </w:p>
        </w:tc>
        <w:tc>
          <w:tcPr>
            <w:tcW w:w="4950" w:type="dxa"/>
          </w:tcPr>
          <w:p w:rsidR="00A81A76" w:rsidRPr="00F026DA" w:rsidRDefault="00A81A76" w:rsidP="0035412D">
            <w:pPr>
              <w:rPr>
                <w:rFonts w:asciiTheme="minorHAnsi" w:hAnsiTheme="minorHAnsi"/>
              </w:rPr>
            </w:pPr>
            <w:r w:rsidRPr="00F026DA">
              <w:rPr>
                <w:rFonts w:asciiTheme="minorHAnsi" w:hAnsiTheme="minorHAnsi"/>
              </w:rPr>
              <w:t xml:space="preserve">Supporting documentation used to review and verify the filer’s report submission. Includes records such as: </w:t>
            </w:r>
          </w:p>
          <w:p w:rsidR="00A81A76" w:rsidRPr="00887CF4" w:rsidRDefault="00A81A76" w:rsidP="00887CF4">
            <w:pPr>
              <w:pStyle w:val="ListParagraph"/>
              <w:numPr>
                <w:ilvl w:val="0"/>
                <w:numId w:val="75"/>
              </w:numPr>
              <w:rPr>
                <w:rFonts w:asciiTheme="minorHAnsi" w:hAnsiTheme="minorHAnsi"/>
              </w:rPr>
            </w:pPr>
            <w:r w:rsidRPr="00887CF4">
              <w:rPr>
                <w:rFonts w:asciiTheme="minorHAnsi" w:hAnsiTheme="minorHAnsi"/>
              </w:rPr>
              <w:t xml:space="preserve">reviewer’s notes </w:t>
            </w:r>
          </w:p>
          <w:p w:rsidR="00A81A76" w:rsidRPr="00887CF4" w:rsidRDefault="00A81A76" w:rsidP="00887CF4">
            <w:pPr>
              <w:pStyle w:val="ListParagraph"/>
              <w:numPr>
                <w:ilvl w:val="0"/>
                <w:numId w:val="75"/>
              </w:numPr>
              <w:rPr>
                <w:rFonts w:asciiTheme="minorHAnsi" w:hAnsiTheme="minorHAnsi"/>
              </w:rPr>
            </w:pPr>
            <w:r w:rsidRPr="00887CF4">
              <w:rPr>
                <w:rFonts w:asciiTheme="minorHAnsi" w:hAnsiTheme="minorHAnsi"/>
              </w:rPr>
              <w:t xml:space="preserve">background research reports </w:t>
            </w:r>
          </w:p>
          <w:p w:rsidR="00A81A76" w:rsidRPr="00887CF4" w:rsidRDefault="00A81A76" w:rsidP="00887CF4">
            <w:pPr>
              <w:pStyle w:val="ListParagraph"/>
              <w:numPr>
                <w:ilvl w:val="0"/>
                <w:numId w:val="75"/>
              </w:numPr>
              <w:rPr>
                <w:rFonts w:asciiTheme="minorHAnsi" w:hAnsiTheme="minorHAnsi"/>
              </w:rPr>
            </w:pPr>
            <w:r w:rsidRPr="00887CF4">
              <w:rPr>
                <w:rFonts w:asciiTheme="minorHAnsi" w:hAnsiTheme="minorHAnsi"/>
              </w:rPr>
              <w:t>memorialized verbal comments of filer in response to reviewer questions</w:t>
            </w:r>
          </w:p>
        </w:tc>
        <w:tc>
          <w:tcPr>
            <w:tcW w:w="4410" w:type="dxa"/>
          </w:tcPr>
          <w:p w:rsidR="00A81A76" w:rsidRPr="00F026DA" w:rsidRDefault="00A81A76" w:rsidP="0035412D">
            <w:pPr>
              <w:rPr>
                <w:rFonts w:asciiTheme="minorHAnsi" w:hAnsiTheme="minorHAnsi"/>
              </w:rPr>
            </w:pPr>
            <w:r w:rsidRPr="00F026DA">
              <w:rPr>
                <w:rFonts w:asciiTheme="minorHAnsi" w:hAnsiTheme="minorHAnsi"/>
              </w:rPr>
              <w:t xml:space="preserve">Temporary. </w:t>
            </w:r>
          </w:p>
          <w:p w:rsidR="00A81A76" w:rsidRDefault="00A81A76" w:rsidP="0035412D">
            <w:pPr>
              <w:rPr>
                <w:rFonts w:asciiTheme="minorHAnsi" w:hAnsiTheme="minorHAnsi"/>
              </w:rPr>
            </w:pPr>
            <w:r w:rsidRPr="00F026DA">
              <w:rPr>
                <w:rFonts w:asciiTheme="minorHAnsi" w:hAnsiTheme="minorHAnsi"/>
              </w:rPr>
              <w:t xml:space="preserve">Destroy at the same time an </w:t>
            </w:r>
            <w:proofErr w:type="gramStart"/>
            <w:r w:rsidRPr="00F026DA">
              <w:rPr>
                <w:rFonts w:asciiTheme="minorHAnsi" w:hAnsiTheme="minorHAnsi"/>
              </w:rPr>
              <w:t>individual’s</w:t>
            </w:r>
            <w:proofErr w:type="gramEnd"/>
            <w:r w:rsidRPr="00F026DA">
              <w:rPr>
                <w:rFonts w:asciiTheme="minorHAnsi" w:hAnsiTheme="minorHAnsi"/>
              </w:rPr>
              <w:t xml:space="preserve"> related financial disclosure report is destroyed or 6 years after the individual has submitted their last financial disclosure report; or when no longer needed for active investigation, whichever is later.</w:t>
            </w:r>
          </w:p>
          <w:p w:rsidR="00A81A76" w:rsidRDefault="00A81A76" w:rsidP="0035412D">
            <w:pPr>
              <w:rPr>
                <w:rFonts w:asciiTheme="minorHAnsi" w:hAnsiTheme="minorHAnsi"/>
              </w:rPr>
            </w:pPr>
          </w:p>
          <w:p w:rsidR="00A81A76" w:rsidRDefault="00A81A76" w:rsidP="0035412D">
            <w:pPr>
              <w:rPr>
                <w:rFonts w:asciiTheme="minorHAnsi" w:hAnsiTheme="minorHAnsi"/>
              </w:rPr>
            </w:pPr>
            <w:r>
              <w:rPr>
                <w:rFonts w:asciiTheme="minorHAnsi" w:hAnsiTheme="minorHAnsi"/>
              </w:rPr>
              <w:t>Disposition authority:</w:t>
            </w:r>
          </w:p>
          <w:p w:rsidR="00A81A76" w:rsidRPr="00F026DA" w:rsidRDefault="00A81A76" w:rsidP="0035412D">
            <w:pPr>
              <w:rPr>
                <w:rFonts w:asciiTheme="minorHAnsi" w:hAnsiTheme="minorHAnsi"/>
              </w:rPr>
            </w:pPr>
            <w:r w:rsidRPr="00A81A76">
              <w:rPr>
                <w:rFonts w:asciiTheme="minorHAnsi" w:hAnsiTheme="minorHAnsi"/>
              </w:rPr>
              <w:t>N1-62-94-05</w:t>
            </w:r>
          </w:p>
        </w:tc>
      </w:tr>
      <w:tr w:rsidR="00A81A76" w:rsidRPr="00F026DA" w:rsidTr="00A81A76">
        <w:trPr>
          <w:cantSplit/>
        </w:trPr>
        <w:tc>
          <w:tcPr>
            <w:tcW w:w="3505" w:type="dxa"/>
          </w:tcPr>
          <w:p w:rsidR="00A81A76" w:rsidRPr="00F026DA" w:rsidRDefault="00A81A76" w:rsidP="0035412D">
            <w:pPr>
              <w:rPr>
                <w:rFonts w:asciiTheme="minorHAnsi" w:hAnsiTheme="minorHAnsi"/>
              </w:rPr>
            </w:pPr>
            <w:r w:rsidRPr="00F026DA">
              <w:rPr>
                <w:rFonts w:asciiTheme="minorHAnsi" w:hAnsiTheme="minorHAnsi"/>
              </w:rPr>
              <w:t>2.11 Visual Services Photographs Used in Production of House Publications.  Photo Library</w:t>
            </w:r>
          </w:p>
        </w:tc>
        <w:tc>
          <w:tcPr>
            <w:tcW w:w="4950" w:type="dxa"/>
          </w:tcPr>
          <w:p w:rsidR="00A81A76" w:rsidRPr="00F026DA" w:rsidRDefault="00A81A76" w:rsidP="0035412D">
            <w:pPr>
              <w:rPr>
                <w:rFonts w:asciiTheme="minorHAnsi" w:hAnsiTheme="minorHAnsi"/>
              </w:rPr>
            </w:pPr>
            <w:r w:rsidRPr="00F026DA">
              <w:rPr>
                <w:rFonts w:asciiTheme="minorHAnsi" w:hAnsiTheme="minorHAnsi"/>
              </w:rPr>
              <w:t>Photographs used in the production of "house publications."</w:t>
            </w:r>
          </w:p>
        </w:tc>
        <w:tc>
          <w:tcPr>
            <w:tcW w:w="4410" w:type="dxa"/>
          </w:tcPr>
          <w:p w:rsidR="00A81A76" w:rsidRDefault="00A81A76" w:rsidP="0035412D">
            <w:pPr>
              <w:rPr>
                <w:rFonts w:asciiTheme="minorHAnsi" w:hAnsiTheme="minorHAnsi"/>
              </w:rPr>
            </w:pPr>
            <w:r w:rsidRPr="00F026DA">
              <w:rPr>
                <w:rFonts w:asciiTheme="minorHAnsi" w:hAnsiTheme="minorHAnsi"/>
              </w:rPr>
              <w:t>Temporary. Destroy when no longer needed for agency purposes.</w:t>
            </w:r>
          </w:p>
          <w:p w:rsidR="00A81A76" w:rsidRDefault="00A81A76" w:rsidP="0035412D">
            <w:pPr>
              <w:rPr>
                <w:rFonts w:asciiTheme="minorHAnsi" w:hAnsiTheme="minorHAnsi"/>
              </w:rPr>
            </w:pPr>
          </w:p>
          <w:p w:rsidR="00A81A76" w:rsidRDefault="00A81A76" w:rsidP="0035412D">
            <w:pPr>
              <w:rPr>
                <w:rFonts w:asciiTheme="minorHAnsi" w:hAnsiTheme="minorHAnsi"/>
              </w:rPr>
            </w:pPr>
            <w:r>
              <w:rPr>
                <w:rFonts w:asciiTheme="minorHAnsi" w:hAnsiTheme="minorHAnsi"/>
              </w:rPr>
              <w:t>Disposition authority:</w:t>
            </w:r>
          </w:p>
          <w:p w:rsidR="00A81A76" w:rsidRPr="00F026DA" w:rsidRDefault="00A81A76" w:rsidP="0035412D">
            <w:pPr>
              <w:rPr>
                <w:rFonts w:asciiTheme="minorHAnsi" w:hAnsiTheme="minorHAnsi"/>
              </w:rPr>
            </w:pPr>
            <w:r w:rsidRPr="00A81A76">
              <w:rPr>
                <w:rFonts w:asciiTheme="minorHAnsi" w:hAnsiTheme="minorHAnsi"/>
              </w:rPr>
              <w:t>N1-62-94-06</w:t>
            </w:r>
          </w:p>
        </w:tc>
      </w:tr>
      <w:tr w:rsidR="00A81A76" w:rsidRPr="00F026DA" w:rsidTr="00A81A76">
        <w:trPr>
          <w:cantSplit/>
        </w:trPr>
        <w:tc>
          <w:tcPr>
            <w:tcW w:w="3505" w:type="dxa"/>
          </w:tcPr>
          <w:p w:rsidR="00A81A76" w:rsidRPr="00F026DA" w:rsidRDefault="00A81A76" w:rsidP="00AA57D0">
            <w:pPr>
              <w:rPr>
                <w:rFonts w:asciiTheme="minorHAnsi" w:hAnsiTheme="minorHAnsi"/>
              </w:rPr>
            </w:pPr>
            <w:r w:rsidRPr="00F026DA">
              <w:rPr>
                <w:rFonts w:asciiTheme="minorHAnsi" w:hAnsiTheme="minorHAnsi"/>
              </w:rPr>
              <w:lastRenderedPageBreak/>
              <w:t xml:space="preserve">2.15 Echocardiogram Video Cassette Recording Tapes </w:t>
            </w:r>
          </w:p>
        </w:tc>
        <w:tc>
          <w:tcPr>
            <w:tcW w:w="4950" w:type="dxa"/>
          </w:tcPr>
          <w:p w:rsidR="00A81A76" w:rsidRPr="00F026DA" w:rsidRDefault="00A81A76" w:rsidP="0035412D">
            <w:pPr>
              <w:rPr>
                <w:rFonts w:asciiTheme="minorHAnsi" w:hAnsiTheme="minorHAnsi"/>
              </w:rPr>
            </w:pPr>
            <w:r w:rsidRPr="00522690">
              <w:rPr>
                <w:rFonts w:asciiTheme="minorHAnsi" w:hAnsiTheme="minorHAnsi"/>
              </w:rPr>
              <w:t>Each tape contains approximately 10 patients' tests.  Co</w:t>
            </w:r>
            <w:r w:rsidR="00E0003B">
              <w:rPr>
                <w:rFonts w:asciiTheme="minorHAnsi" w:hAnsiTheme="minorHAnsi"/>
              </w:rPr>
              <w:t>ntains images captured on video</w:t>
            </w:r>
            <w:r w:rsidRPr="00522690">
              <w:rPr>
                <w:rFonts w:asciiTheme="minorHAnsi" w:hAnsiTheme="minorHAnsi"/>
              </w:rPr>
              <w:t xml:space="preserve">cassette tapes showing the position and motion of the heart. </w:t>
            </w:r>
          </w:p>
        </w:tc>
        <w:tc>
          <w:tcPr>
            <w:tcW w:w="4410" w:type="dxa"/>
          </w:tcPr>
          <w:p w:rsidR="00A81A76" w:rsidRDefault="00A81A76" w:rsidP="0035412D">
            <w:pPr>
              <w:rPr>
                <w:rFonts w:asciiTheme="minorHAnsi" w:hAnsiTheme="minorHAnsi"/>
              </w:rPr>
            </w:pPr>
            <w:r w:rsidRPr="00522690">
              <w:rPr>
                <w:rFonts w:asciiTheme="minorHAnsi" w:hAnsiTheme="minorHAnsi"/>
              </w:rPr>
              <w:t xml:space="preserve">Temporary. Cut off at the end of the year in which the last image </w:t>
            </w:r>
            <w:proofErr w:type="gramStart"/>
            <w:r w:rsidR="00E0003B">
              <w:rPr>
                <w:rFonts w:asciiTheme="minorHAnsi" w:hAnsiTheme="minorHAnsi"/>
              </w:rPr>
              <w:t xml:space="preserve">was </w:t>
            </w:r>
            <w:r w:rsidRPr="00522690">
              <w:rPr>
                <w:rFonts w:asciiTheme="minorHAnsi" w:hAnsiTheme="minorHAnsi"/>
              </w:rPr>
              <w:t>captured</w:t>
            </w:r>
            <w:proofErr w:type="gramEnd"/>
            <w:r w:rsidRPr="00522690">
              <w:rPr>
                <w:rFonts w:asciiTheme="minorHAnsi" w:hAnsiTheme="minorHAnsi"/>
              </w:rPr>
              <w:t xml:space="preserve"> and a report filed in the patient's health record. Destroy 5 years after cutoff.</w:t>
            </w:r>
          </w:p>
          <w:p w:rsidR="00A81A76" w:rsidRDefault="00A81A76" w:rsidP="0035412D">
            <w:pPr>
              <w:rPr>
                <w:rFonts w:asciiTheme="minorHAnsi" w:hAnsiTheme="minorHAnsi"/>
              </w:rPr>
            </w:pPr>
          </w:p>
          <w:p w:rsidR="00A81A76" w:rsidRDefault="00A81A76" w:rsidP="0035412D">
            <w:pPr>
              <w:rPr>
                <w:rFonts w:asciiTheme="minorHAnsi" w:hAnsiTheme="minorHAnsi"/>
              </w:rPr>
            </w:pPr>
            <w:r>
              <w:rPr>
                <w:rFonts w:asciiTheme="minorHAnsi" w:hAnsiTheme="minorHAnsi"/>
              </w:rPr>
              <w:t>Disposition authority:</w:t>
            </w:r>
          </w:p>
          <w:p w:rsidR="00A81A76" w:rsidRPr="00F026DA" w:rsidRDefault="00A81A76" w:rsidP="0035412D">
            <w:pPr>
              <w:rPr>
                <w:rFonts w:asciiTheme="minorHAnsi" w:hAnsiTheme="minorHAnsi"/>
              </w:rPr>
            </w:pPr>
            <w:r w:rsidRPr="00A81A76">
              <w:rPr>
                <w:rFonts w:asciiTheme="minorHAnsi" w:hAnsiTheme="minorHAnsi"/>
              </w:rPr>
              <w:t>N1-62-94-07</w:t>
            </w:r>
          </w:p>
        </w:tc>
      </w:tr>
      <w:tr w:rsidR="00A81A76" w:rsidRPr="00F026DA" w:rsidTr="00A81A76">
        <w:trPr>
          <w:cantSplit/>
        </w:trPr>
        <w:tc>
          <w:tcPr>
            <w:tcW w:w="3505" w:type="dxa"/>
          </w:tcPr>
          <w:p w:rsidR="00A81A76" w:rsidRPr="00F026DA" w:rsidRDefault="00A81A76" w:rsidP="0035412D">
            <w:pPr>
              <w:rPr>
                <w:rFonts w:asciiTheme="minorHAnsi" w:hAnsiTheme="minorHAnsi"/>
              </w:rPr>
            </w:pPr>
            <w:r w:rsidRPr="00522690">
              <w:rPr>
                <w:rFonts w:asciiTheme="minorHAnsi" w:hAnsiTheme="minorHAnsi"/>
              </w:rPr>
              <w:t>2.16 Thrift Savings Plan Election Form</w:t>
            </w:r>
          </w:p>
        </w:tc>
        <w:tc>
          <w:tcPr>
            <w:tcW w:w="4950" w:type="dxa"/>
          </w:tcPr>
          <w:p w:rsidR="00A81A76" w:rsidRPr="00F026DA" w:rsidRDefault="00A81A76" w:rsidP="0035412D">
            <w:pPr>
              <w:rPr>
                <w:rFonts w:asciiTheme="minorHAnsi" w:hAnsiTheme="minorHAnsi"/>
              </w:rPr>
            </w:pPr>
            <w:r w:rsidRPr="00522690">
              <w:rPr>
                <w:rFonts w:asciiTheme="minorHAnsi" w:hAnsiTheme="minorHAnsi"/>
              </w:rPr>
              <w:t>Form TSP-1 authorizing deduction of employee contribution to the Thrift Savings Plan.</w:t>
            </w:r>
          </w:p>
        </w:tc>
        <w:tc>
          <w:tcPr>
            <w:tcW w:w="4410" w:type="dxa"/>
          </w:tcPr>
          <w:p w:rsidR="00A81A76" w:rsidRDefault="00A81A76" w:rsidP="0035412D">
            <w:pPr>
              <w:rPr>
                <w:rFonts w:asciiTheme="minorHAnsi" w:hAnsiTheme="minorHAnsi"/>
              </w:rPr>
            </w:pPr>
            <w:r w:rsidRPr="00522690">
              <w:rPr>
                <w:rFonts w:asciiTheme="minorHAnsi" w:hAnsiTheme="minorHAnsi"/>
              </w:rPr>
              <w:t>Destroy when superseded or after separation of employee.</w:t>
            </w:r>
          </w:p>
          <w:p w:rsidR="00A81A76" w:rsidRDefault="00A81A76" w:rsidP="0035412D">
            <w:pPr>
              <w:rPr>
                <w:rFonts w:asciiTheme="minorHAnsi" w:hAnsiTheme="minorHAnsi"/>
              </w:rPr>
            </w:pPr>
          </w:p>
          <w:p w:rsidR="00A81A76" w:rsidRDefault="00A81A76" w:rsidP="0035412D">
            <w:pPr>
              <w:rPr>
                <w:rFonts w:asciiTheme="minorHAnsi" w:hAnsiTheme="minorHAnsi"/>
              </w:rPr>
            </w:pPr>
            <w:r>
              <w:rPr>
                <w:rFonts w:asciiTheme="minorHAnsi" w:hAnsiTheme="minorHAnsi"/>
              </w:rPr>
              <w:t>Disposition authority:</w:t>
            </w:r>
          </w:p>
          <w:p w:rsidR="00A81A76" w:rsidRPr="00F026DA" w:rsidRDefault="00A81A76" w:rsidP="0035412D">
            <w:pPr>
              <w:rPr>
                <w:rFonts w:asciiTheme="minorHAnsi" w:hAnsiTheme="minorHAnsi"/>
              </w:rPr>
            </w:pPr>
            <w:r w:rsidRPr="00A81A76">
              <w:rPr>
                <w:rFonts w:asciiTheme="minorHAnsi" w:hAnsiTheme="minorHAnsi"/>
              </w:rPr>
              <w:t>N1-62-97-01</w:t>
            </w:r>
          </w:p>
        </w:tc>
      </w:tr>
      <w:tr w:rsidR="00A81A76" w:rsidRPr="00F026DA" w:rsidTr="00A81A76">
        <w:trPr>
          <w:cantSplit/>
        </w:trPr>
        <w:tc>
          <w:tcPr>
            <w:tcW w:w="3505" w:type="dxa"/>
          </w:tcPr>
          <w:p w:rsidR="00A81A76" w:rsidRPr="00F026DA" w:rsidRDefault="00A81A76" w:rsidP="00A04403">
            <w:pPr>
              <w:rPr>
                <w:rFonts w:asciiTheme="minorHAnsi" w:hAnsiTheme="minorHAnsi"/>
              </w:rPr>
            </w:pPr>
            <w:r w:rsidRPr="00522690">
              <w:rPr>
                <w:rFonts w:asciiTheme="minorHAnsi" w:hAnsiTheme="minorHAnsi"/>
              </w:rPr>
              <w:t>4.</w:t>
            </w:r>
            <w:r>
              <w:rPr>
                <w:rFonts w:asciiTheme="minorHAnsi" w:hAnsiTheme="minorHAnsi"/>
              </w:rPr>
              <w:t>0</w:t>
            </w:r>
            <w:r w:rsidRPr="00522690">
              <w:rPr>
                <w:rFonts w:asciiTheme="minorHAnsi" w:hAnsiTheme="minorHAnsi"/>
              </w:rPr>
              <w:t xml:space="preserve">1-030 Records Management Records.  </w:t>
            </w:r>
            <w:r w:rsidR="00A04403">
              <w:rPr>
                <w:rFonts w:asciiTheme="minorHAnsi" w:hAnsiTheme="minorHAnsi"/>
              </w:rPr>
              <w:t>Essential (vital)</w:t>
            </w:r>
            <w:r w:rsidRPr="00522690">
              <w:rPr>
                <w:rFonts w:asciiTheme="minorHAnsi" w:hAnsiTheme="minorHAnsi"/>
              </w:rPr>
              <w:t xml:space="preserve"> records program records.</w:t>
            </w:r>
          </w:p>
        </w:tc>
        <w:tc>
          <w:tcPr>
            <w:tcW w:w="4950" w:type="dxa"/>
          </w:tcPr>
          <w:p w:rsidR="00A81A76" w:rsidRPr="00522690" w:rsidRDefault="00A81A76" w:rsidP="0035412D">
            <w:pPr>
              <w:rPr>
                <w:rFonts w:asciiTheme="minorHAnsi" w:hAnsiTheme="minorHAnsi"/>
              </w:rPr>
            </w:pPr>
            <w:r w:rsidRPr="00522690">
              <w:rPr>
                <w:rFonts w:asciiTheme="minorHAnsi" w:hAnsiTheme="minorHAnsi"/>
              </w:rPr>
              <w:t xml:space="preserve">Records involved in planning, operating, and managing the agency’s </w:t>
            </w:r>
            <w:r w:rsidR="00A04403">
              <w:rPr>
                <w:rFonts w:asciiTheme="minorHAnsi" w:hAnsiTheme="minorHAnsi"/>
              </w:rPr>
              <w:t>essential (vital)</w:t>
            </w:r>
            <w:r w:rsidRPr="00522690">
              <w:rPr>
                <w:rFonts w:asciiTheme="minorHAnsi" w:hAnsiTheme="minorHAnsi"/>
              </w:rPr>
              <w:t xml:space="preserve"> records program. Includes: </w:t>
            </w:r>
          </w:p>
          <w:p w:rsidR="00A81A76" w:rsidRPr="00522690" w:rsidRDefault="00117E73" w:rsidP="00343F4B">
            <w:pPr>
              <w:pStyle w:val="ListParagraph"/>
              <w:numPr>
                <w:ilvl w:val="0"/>
                <w:numId w:val="12"/>
              </w:numPr>
              <w:rPr>
                <w:rFonts w:asciiTheme="minorHAnsi" w:hAnsiTheme="minorHAnsi"/>
              </w:rPr>
            </w:pPr>
            <w:r>
              <w:rPr>
                <w:rFonts w:asciiTheme="minorHAnsi" w:hAnsiTheme="minorHAnsi"/>
              </w:rPr>
              <w:t>e</w:t>
            </w:r>
            <w:r w:rsidR="00A04403">
              <w:rPr>
                <w:rFonts w:asciiTheme="minorHAnsi" w:hAnsiTheme="minorHAnsi"/>
              </w:rPr>
              <w:t xml:space="preserve">ssential </w:t>
            </w:r>
            <w:r w:rsidR="00A81A76" w:rsidRPr="00522690">
              <w:rPr>
                <w:rFonts w:asciiTheme="minorHAnsi" w:hAnsiTheme="minorHAnsi"/>
              </w:rPr>
              <w:t xml:space="preserve">records inventories </w:t>
            </w:r>
          </w:p>
          <w:p w:rsidR="00A81A76" w:rsidRPr="00522690" w:rsidRDefault="00117E73" w:rsidP="00343F4B">
            <w:pPr>
              <w:pStyle w:val="ListParagraph"/>
              <w:numPr>
                <w:ilvl w:val="0"/>
                <w:numId w:val="12"/>
              </w:numPr>
              <w:rPr>
                <w:rFonts w:asciiTheme="minorHAnsi" w:hAnsiTheme="minorHAnsi"/>
              </w:rPr>
            </w:pPr>
            <w:r>
              <w:rPr>
                <w:rFonts w:asciiTheme="minorHAnsi" w:hAnsiTheme="minorHAnsi"/>
              </w:rPr>
              <w:t>e</w:t>
            </w:r>
            <w:r w:rsidR="00A04403">
              <w:rPr>
                <w:rFonts w:asciiTheme="minorHAnsi" w:hAnsiTheme="minorHAnsi"/>
              </w:rPr>
              <w:t>ssential</w:t>
            </w:r>
            <w:r w:rsidR="00A81A76" w:rsidRPr="00522690">
              <w:rPr>
                <w:rFonts w:asciiTheme="minorHAnsi" w:hAnsiTheme="minorHAnsi"/>
              </w:rPr>
              <w:t xml:space="preserve"> records cycling plans </w:t>
            </w:r>
          </w:p>
          <w:p w:rsidR="00A81A76" w:rsidRPr="00522690" w:rsidRDefault="00117E73" w:rsidP="00343F4B">
            <w:pPr>
              <w:pStyle w:val="ListParagraph"/>
              <w:numPr>
                <w:ilvl w:val="0"/>
                <w:numId w:val="12"/>
              </w:numPr>
              <w:rPr>
                <w:rFonts w:asciiTheme="minorHAnsi" w:hAnsiTheme="minorHAnsi"/>
              </w:rPr>
            </w:pPr>
            <w:r>
              <w:rPr>
                <w:rFonts w:asciiTheme="minorHAnsi" w:hAnsiTheme="minorHAnsi"/>
              </w:rPr>
              <w:t>r</w:t>
            </w:r>
            <w:r w:rsidR="00A81A76" w:rsidRPr="00522690">
              <w:rPr>
                <w:rFonts w:asciiTheme="minorHAnsi" w:hAnsiTheme="minorHAnsi"/>
              </w:rPr>
              <w:t xml:space="preserve">esults of tests, surveys, or evaluations </w:t>
            </w:r>
          </w:p>
          <w:p w:rsidR="00A81A76" w:rsidRPr="00522690" w:rsidRDefault="00117E73" w:rsidP="00343F4B">
            <w:pPr>
              <w:pStyle w:val="ListParagraph"/>
              <w:numPr>
                <w:ilvl w:val="0"/>
                <w:numId w:val="12"/>
              </w:numPr>
              <w:rPr>
                <w:rFonts w:asciiTheme="minorHAnsi" w:hAnsiTheme="minorHAnsi"/>
              </w:rPr>
            </w:pPr>
            <w:r>
              <w:rPr>
                <w:rFonts w:asciiTheme="minorHAnsi" w:hAnsiTheme="minorHAnsi"/>
              </w:rPr>
              <w:t>r</w:t>
            </w:r>
            <w:r w:rsidR="00A81A76" w:rsidRPr="00522690">
              <w:rPr>
                <w:rFonts w:asciiTheme="minorHAnsi" w:hAnsiTheme="minorHAnsi"/>
              </w:rPr>
              <w:t xml:space="preserve">eports of corrective action taken in response to agency </w:t>
            </w:r>
            <w:r w:rsidR="00A04403">
              <w:rPr>
                <w:rFonts w:asciiTheme="minorHAnsi" w:hAnsiTheme="minorHAnsi"/>
              </w:rPr>
              <w:t>essential</w:t>
            </w:r>
            <w:r w:rsidR="00A81A76" w:rsidRPr="00522690">
              <w:rPr>
                <w:rFonts w:asciiTheme="minorHAnsi" w:hAnsiTheme="minorHAnsi"/>
              </w:rPr>
              <w:t xml:space="preserve"> records tests </w:t>
            </w:r>
          </w:p>
          <w:p w:rsidR="00A81A76" w:rsidRPr="00F026DA" w:rsidRDefault="00A81A76" w:rsidP="0035412D">
            <w:pPr>
              <w:rPr>
                <w:rFonts w:asciiTheme="minorHAnsi" w:hAnsiTheme="minorHAnsi"/>
              </w:rPr>
            </w:pPr>
          </w:p>
        </w:tc>
        <w:tc>
          <w:tcPr>
            <w:tcW w:w="4410" w:type="dxa"/>
          </w:tcPr>
          <w:p w:rsidR="00A81A76" w:rsidRDefault="00A81A76" w:rsidP="0035412D">
            <w:pPr>
              <w:rPr>
                <w:rFonts w:asciiTheme="minorHAnsi" w:hAnsiTheme="minorHAnsi"/>
              </w:rPr>
            </w:pPr>
            <w:r w:rsidRPr="00522690">
              <w:rPr>
                <w:rFonts w:asciiTheme="minorHAnsi" w:hAnsiTheme="minorHAnsi"/>
              </w:rPr>
              <w:t xml:space="preserve">Temporary. Destroy 3 years after project, activity, or transaction is completed or superseded, but longer retention </w:t>
            </w:r>
            <w:proofErr w:type="gramStart"/>
            <w:r w:rsidRPr="00522690">
              <w:rPr>
                <w:rFonts w:asciiTheme="minorHAnsi" w:hAnsiTheme="minorHAnsi"/>
              </w:rPr>
              <w:t>is authorized</w:t>
            </w:r>
            <w:proofErr w:type="gramEnd"/>
            <w:r w:rsidRPr="00522690">
              <w:rPr>
                <w:rFonts w:asciiTheme="minorHAnsi" w:hAnsiTheme="minorHAnsi"/>
              </w:rPr>
              <w:t xml:space="preserve"> if needed for business use.</w:t>
            </w:r>
          </w:p>
          <w:p w:rsidR="00A81A76" w:rsidRDefault="00A81A76" w:rsidP="0035412D">
            <w:pPr>
              <w:rPr>
                <w:rFonts w:asciiTheme="minorHAnsi" w:hAnsiTheme="minorHAnsi"/>
              </w:rPr>
            </w:pPr>
          </w:p>
          <w:p w:rsidR="00A81A76" w:rsidRDefault="00A81A76" w:rsidP="0035412D">
            <w:pPr>
              <w:rPr>
                <w:rFonts w:asciiTheme="minorHAnsi" w:hAnsiTheme="minorHAnsi"/>
              </w:rPr>
            </w:pPr>
            <w:r>
              <w:rPr>
                <w:rFonts w:asciiTheme="minorHAnsi" w:hAnsiTheme="minorHAnsi"/>
              </w:rPr>
              <w:t>Disposition authority:</w:t>
            </w:r>
          </w:p>
          <w:p w:rsidR="00A81A76" w:rsidRPr="00F026DA" w:rsidRDefault="00A81A76" w:rsidP="0035412D">
            <w:pPr>
              <w:rPr>
                <w:rFonts w:asciiTheme="minorHAnsi" w:hAnsiTheme="minorHAnsi"/>
              </w:rPr>
            </w:pPr>
            <w:r w:rsidRPr="00A81A76">
              <w:rPr>
                <w:rFonts w:asciiTheme="minorHAnsi" w:hAnsiTheme="minorHAnsi"/>
              </w:rPr>
              <w:t>N1-62-97-03</w:t>
            </w:r>
          </w:p>
        </w:tc>
      </w:tr>
    </w:tbl>
    <w:p w:rsidR="00887CF4" w:rsidRDefault="00887CF4" w:rsidP="00955CBB"/>
    <w:p w:rsidR="00887CF4" w:rsidRDefault="00887CF4" w:rsidP="00887CF4">
      <w:r>
        <w:br w:type="page"/>
      </w:r>
    </w:p>
    <w:p w:rsidR="00955CBB" w:rsidRDefault="00955CBB" w:rsidP="00955CBB">
      <w:pPr>
        <w:pStyle w:val="Heading2"/>
      </w:pPr>
      <w:bookmarkStart w:id="11" w:name="_Toc15968272"/>
      <w:r>
        <w:lastRenderedPageBreak/>
        <w:t>Unscheduled Records</w:t>
      </w:r>
      <w:bookmarkEnd w:id="11"/>
    </w:p>
    <w:p w:rsidR="00955CBB" w:rsidRDefault="007B7A24" w:rsidP="00343F4B">
      <w:pPr>
        <w:pStyle w:val="ListParagraph"/>
        <w:numPr>
          <w:ilvl w:val="0"/>
          <w:numId w:val="13"/>
        </w:numPr>
      </w:pPr>
      <w:r>
        <w:t>Treat as permanent</w:t>
      </w:r>
      <w:r>
        <w:br/>
      </w:r>
    </w:p>
    <w:p w:rsidR="007B7A24" w:rsidRDefault="007B7A24" w:rsidP="00343F4B">
      <w:pPr>
        <w:pStyle w:val="ListParagraph"/>
        <w:numPr>
          <w:ilvl w:val="0"/>
          <w:numId w:val="13"/>
        </w:numPr>
      </w:pPr>
      <w:r>
        <w:t>Notify</w:t>
      </w:r>
      <w:r>
        <w:br/>
      </w:r>
    </w:p>
    <w:p w:rsidR="007B7A24" w:rsidRDefault="007B7A24" w:rsidP="00343F4B">
      <w:pPr>
        <w:pStyle w:val="ListParagraph"/>
        <w:numPr>
          <w:ilvl w:val="0"/>
          <w:numId w:val="13"/>
        </w:numPr>
      </w:pPr>
      <w:r>
        <w:t>Track</w:t>
      </w:r>
    </w:p>
    <w:p w:rsidR="007B7A24" w:rsidRDefault="007B7A24" w:rsidP="00887CF4">
      <w:pPr>
        <w:spacing w:after="1000"/>
      </w:pPr>
    </w:p>
    <w:p w:rsidR="007B7A24" w:rsidRDefault="00593BDE" w:rsidP="00593BDE">
      <w:pPr>
        <w:pStyle w:val="Heading2"/>
      </w:pPr>
      <w:bookmarkStart w:id="12" w:name="_Toc15968273"/>
      <w:r>
        <w:t>Calculating Records Disposition</w:t>
      </w:r>
      <w:bookmarkEnd w:id="12"/>
    </w:p>
    <w:p w:rsidR="00593BDE" w:rsidRDefault="00593BDE" w:rsidP="007B7A24">
      <w:r w:rsidRPr="00593BDE">
        <w:rPr>
          <w:noProof/>
        </w:rPr>
        <w:drawing>
          <wp:inline distT="0" distB="0" distL="0" distR="0" wp14:anchorId="2327693A" wp14:editId="76D70987">
            <wp:extent cx="5943600" cy="951230"/>
            <wp:effectExtent l="0" t="0" r="0" b="1270"/>
            <wp:docPr id="4" name="Picture 3" descr="Steps in calculating records disposition:  First, identify the cutoff.  Second, identify the retention.  Third, add the retention to the cutoff.  Fourth, identify the disposition action date, which is the next day.  Finally, confirm the disposition action by checking the records sch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13">
                      <a:extLst>
                        <a:ext uri="{28A0092B-C50C-407E-A947-70E740481C1C}">
                          <a14:useLocalDpi xmlns:a14="http://schemas.microsoft.com/office/drawing/2010/main" val="0"/>
                        </a:ext>
                      </a:extLst>
                    </a:blip>
                    <a:srcRect t="37206" b="34343"/>
                    <a:stretch/>
                  </pic:blipFill>
                  <pic:spPr>
                    <a:xfrm>
                      <a:off x="0" y="0"/>
                      <a:ext cx="5943600" cy="951230"/>
                    </a:xfrm>
                    <a:prstGeom prst="rect">
                      <a:avLst/>
                    </a:prstGeom>
                  </pic:spPr>
                </pic:pic>
              </a:graphicData>
            </a:graphic>
          </wp:inline>
        </w:drawing>
      </w:r>
    </w:p>
    <w:p w:rsidR="00593BDE" w:rsidRDefault="00593BDE" w:rsidP="007B7A24">
      <w:r>
        <w:t>The steps involved in calculating records disposition are:</w:t>
      </w:r>
    </w:p>
    <w:p w:rsidR="00593BDE" w:rsidRDefault="00593BDE" w:rsidP="00593BDE">
      <w:pPr>
        <w:pStyle w:val="ListParagraph"/>
        <w:numPr>
          <w:ilvl w:val="0"/>
          <w:numId w:val="59"/>
        </w:numPr>
        <w:spacing w:line="960" w:lineRule="auto"/>
        <w:contextualSpacing w:val="0"/>
      </w:pPr>
      <w:r>
        <w:t>Identify cutoff</w:t>
      </w:r>
    </w:p>
    <w:p w:rsidR="00593BDE" w:rsidRDefault="00593BDE" w:rsidP="00593BDE">
      <w:pPr>
        <w:pStyle w:val="ListParagraph"/>
        <w:numPr>
          <w:ilvl w:val="0"/>
          <w:numId w:val="59"/>
        </w:numPr>
        <w:spacing w:line="960" w:lineRule="auto"/>
        <w:contextualSpacing w:val="0"/>
      </w:pPr>
      <w:r>
        <w:t>Identify retention time</w:t>
      </w:r>
    </w:p>
    <w:p w:rsidR="00593BDE" w:rsidRDefault="00593BDE" w:rsidP="00593BDE">
      <w:pPr>
        <w:pStyle w:val="ListParagraph"/>
        <w:numPr>
          <w:ilvl w:val="0"/>
          <w:numId w:val="59"/>
        </w:numPr>
        <w:spacing w:line="960" w:lineRule="auto"/>
        <w:contextualSpacing w:val="0"/>
      </w:pPr>
      <w:r>
        <w:t>Add the retention time to the cutoff</w:t>
      </w:r>
    </w:p>
    <w:p w:rsidR="00593BDE" w:rsidRDefault="00593BDE" w:rsidP="00593BDE">
      <w:pPr>
        <w:pStyle w:val="ListParagraph"/>
        <w:numPr>
          <w:ilvl w:val="0"/>
          <w:numId w:val="59"/>
        </w:numPr>
        <w:spacing w:line="960" w:lineRule="auto"/>
        <w:contextualSpacing w:val="0"/>
      </w:pPr>
      <w:r>
        <w:t>Identify the disposition action date (next day)</w:t>
      </w:r>
    </w:p>
    <w:p w:rsidR="00593BDE" w:rsidRDefault="00593BDE" w:rsidP="00593BDE">
      <w:pPr>
        <w:pStyle w:val="ListParagraph"/>
        <w:numPr>
          <w:ilvl w:val="0"/>
          <w:numId w:val="59"/>
        </w:numPr>
        <w:spacing w:line="960" w:lineRule="auto"/>
        <w:contextualSpacing w:val="0"/>
      </w:pPr>
      <w:r>
        <w:t>Confirm the disposition action by checking the schedule</w:t>
      </w:r>
    </w:p>
    <w:p w:rsidR="00593BDE" w:rsidRDefault="00593BDE" w:rsidP="00593BDE">
      <w:pPr>
        <w:pStyle w:val="Heading2"/>
      </w:pPr>
      <w:bookmarkStart w:id="13" w:name="_Toc15968274"/>
      <w:r>
        <w:lastRenderedPageBreak/>
        <w:t>Calculating Disposition Dates – Notes</w:t>
      </w:r>
      <w:bookmarkEnd w:id="13"/>
    </w:p>
    <w:p w:rsidR="00593BDE" w:rsidRDefault="00593BDE">
      <w:r>
        <w:br w:type="page"/>
      </w:r>
    </w:p>
    <w:p w:rsidR="007B7A24" w:rsidRDefault="007B7A24" w:rsidP="007B7A24">
      <w:pPr>
        <w:pStyle w:val="Heading2"/>
      </w:pPr>
      <w:bookmarkStart w:id="14" w:name="_Toc15968275"/>
      <w:r>
        <w:lastRenderedPageBreak/>
        <w:t>Task: Conduct a Records Clean-up</w:t>
      </w:r>
      <w:bookmarkEnd w:id="14"/>
    </w:p>
    <w:p w:rsidR="007B7A24" w:rsidRDefault="007B7A24" w:rsidP="007D08F7">
      <w:pPr>
        <w:pStyle w:val="ListParagraph"/>
        <w:ind w:left="360"/>
      </w:pPr>
      <w:r w:rsidRPr="007B7A24">
        <w:t xml:space="preserve">Given a situation requiring records </w:t>
      </w:r>
      <w:proofErr w:type="gramStart"/>
      <w:r w:rsidRPr="007B7A24">
        <w:t>clean-up</w:t>
      </w:r>
      <w:proofErr w:type="gramEnd"/>
      <w:r w:rsidRPr="007B7A24">
        <w:t xml:space="preserve"> and a completed inventory, you will be able to analyze the records information to decide on actions to correct records management issues.</w:t>
      </w:r>
    </w:p>
    <w:p w:rsidR="00955CBB" w:rsidRDefault="00955CBB" w:rsidP="00955CBB"/>
    <w:p w:rsidR="007B7A24" w:rsidRDefault="007B7A24" w:rsidP="007B7A24">
      <w:pPr>
        <w:pStyle w:val="Heading2"/>
      </w:pPr>
      <w:bookmarkStart w:id="15" w:name="_Toc15968276"/>
      <w:r>
        <w:t>Records Clean-Up Questions to Ask</w:t>
      </w:r>
      <w:bookmarkEnd w:id="15"/>
    </w:p>
    <w:p w:rsidR="007B7A24" w:rsidRDefault="007B7A24" w:rsidP="00343F4B">
      <w:pPr>
        <w:pStyle w:val="ListParagraph"/>
        <w:numPr>
          <w:ilvl w:val="0"/>
          <w:numId w:val="22"/>
        </w:numPr>
        <w:spacing w:line="720" w:lineRule="auto"/>
      </w:pPr>
      <w:r>
        <w:t>Destroy</w:t>
      </w:r>
    </w:p>
    <w:p w:rsidR="007B7A24" w:rsidRDefault="007B7A24" w:rsidP="00343F4B">
      <w:pPr>
        <w:pStyle w:val="ListParagraph"/>
        <w:numPr>
          <w:ilvl w:val="0"/>
          <w:numId w:val="22"/>
        </w:numPr>
        <w:spacing w:line="720" w:lineRule="auto"/>
      </w:pPr>
      <w:r>
        <w:t>Keep locally</w:t>
      </w:r>
    </w:p>
    <w:p w:rsidR="007B7A24" w:rsidRDefault="007B7A24" w:rsidP="00343F4B">
      <w:pPr>
        <w:pStyle w:val="ListParagraph"/>
        <w:numPr>
          <w:ilvl w:val="0"/>
          <w:numId w:val="22"/>
        </w:numPr>
        <w:spacing w:line="720" w:lineRule="auto"/>
      </w:pPr>
      <w:r>
        <w:t>Transfer to storage</w:t>
      </w:r>
    </w:p>
    <w:p w:rsidR="007B7A24" w:rsidRDefault="007B7A24" w:rsidP="00343F4B">
      <w:pPr>
        <w:pStyle w:val="ListParagraph"/>
        <w:numPr>
          <w:ilvl w:val="0"/>
          <w:numId w:val="22"/>
        </w:numPr>
        <w:spacing w:line="720" w:lineRule="auto"/>
      </w:pPr>
      <w:r>
        <w:t>Transfer to NARA</w:t>
      </w:r>
    </w:p>
    <w:p w:rsidR="007B7A24" w:rsidRDefault="007B7A24" w:rsidP="00343F4B">
      <w:pPr>
        <w:pStyle w:val="ListParagraph"/>
        <w:numPr>
          <w:ilvl w:val="0"/>
          <w:numId w:val="22"/>
        </w:numPr>
        <w:spacing w:line="720" w:lineRule="auto"/>
      </w:pPr>
      <w:r>
        <w:t>Consolidate</w:t>
      </w:r>
    </w:p>
    <w:p w:rsidR="007B7A24" w:rsidRDefault="007B7A24" w:rsidP="00343F4B">
      <w:pPr>
        <w:pStyle w:val="ListParagraph"/>
        <w:numPr>
          <w:ilvl w:val="0"/>
          <w:numId w:val="22"/>
        </w:numPr>
        <w:spacing w:line="720" w:lineRule="auto"/>
      </w:pPr>
      <w:r>
        <w:t>Record copy</w:t>
      </w:r>
    </w:p>
    <w:p w:rsidR="007B7A24" w:rsidRDefault="007B7A24" w:rsidP="00343F4B">
      <w:pPr>
        <w:pStyle w:val="ListParagraph"/>
        <w:numPr>
          <w:ilvl w:val="0"/>
          <w:numId w:val="22"/>
        </w:numPr>
        <w:spacing w:line="720" w:lineRule="auto"/>
      </w:pPr>
      <w:r>
        <w:t>Unscheduled</w:t>
      </w:r>
    </w:p>
    <w:p w:rsidR="007B7A24" w:rsidRDefault="007B7A24" w:rsidP="00343F4B">
      <w:pPr>
        <w:pStyle w:val="ListParagraph"/>
        <w:numPr>
          <w:ilvl w:val="0"/>
          <w:numId w:val="22"/>
        </w:numPr>
        <w:spacing w:line="720" w:lineRule="auto"/>
      </w:pPr>
      <w:r>
        <w:t>Unarranged</w:t>
      </w:r>
    </w:p>
    <w:p w:rsidR="007B7A24" w:rsidRDefault="007B7A24" w:rsidP="00343F4B">
      <w:pPr>
        <w:pStyle w:val="ListParagraph"/>
        <w:numPr>
          <w:ilvl w:val="0"/>
          <w:numId w:val="22"/>
        </w:numPr>
        <w:spacing w:line="720" w:lineRule="auto"/>
      </w:pPr>
      <w:r>
        <w:t>Unsecured</w:t>
      </w:r>
    </w:p>
    <w:p w:rsidR="00AA3EF7" w:rsidRDefault="00AA3EF7">
      <w:pPr>
        <w:rPr>
          <w:b/>
          <w:spacing w:val="15"/>
        </w:rPr>
      </w:pPr>
      <w:r>
        <w:br w:type="page"/>
      </w:r>
    </w:p>
    <w:p w:rsidR="0045218D" w:rsidRDefault="00593BDE" w:rsidP="00593BDE">
      <w:pPr>
        <w:pStyle w:val="Heading2"/>
      </w:pPr>
      <w:bookmarkStart w:id="16" w:name="_Toc15968277"/>
      <w:r>
        <w:lastRenderedPageBreak/>
        <w:t>Records Clean-Up – Notes</w:t>
      </w:r>
      <w:bookmarkEnd w:id="16"/>
    </w:p>
    <w:p w:rsidR="00593BDE" w:rsidRDefault="00593BDE"/>
    <w:p w:rsidR="007B7A24" w:rsidRDefault="007B7A24">
      <w:pPr>
        <w:sectPr w:rsidR="007B7A24">
          <w:pgSz w:w="12240" w:h="15840"/>
          <w:pgMar w:top="1440" w:right="1440" w:bottom="1440" w:left="1440" w:header="720" w:footer="720" w:gutter="0"/>
          <w:cols w:space="720"/>
          <w:docGrid w:linePitch="360"/>
        </w:sectPr>
      </w:pPr>
    </w:p>
    <w:p w:rsidR="00152D92" w:rsidRDefault="00152D92" w:rsidP="00152D92">
      <w:pPr>
        <w:pStyle w:val="Heading2"/>
      </w:pPr>
      <w:bookmarkStart w:id="17" w:name="_Hlk513021469"/>
      <w:bookmarkStart w:id="18" w:name="_Toc15968278"/>
      <w:r>
        <w:lastRenderedPageBreak/>
        <w:t>Activity: Records Clean-up – Worksheet</w:t>
      </w:r>
      <w:bookmarkEnd w:id="18"/>
    </w:p>
    <w:p w:rsidR="00152D92" w:rsidRDefault="00152D92" w:rsidP="00A6705D">
      <w:pPr>
        <w:pStyle w:val="ListParagraph"/>
        <w:numPr>
          <w:ilvl w:val="0"/>
          <w:numId w:val="60"/>
        </w:numPr>
        <w:spacing w:after="1080"/>
        <w:contextualSpacing w:val="0"/>
      </w:pPr>
      <w:r>
        <w:t>Financial management and reporting administrative records</w:t>
      </w:r>
      <w:r w:rsidR="00AA3EF7">
        <w:t xml:space="preserve"> (paper)</w:t>
      </w:r>
    </w:p>
    <w:p w:rsidR="00152D92" w:rsidRDefault="00815F86" w:rsidP="00A6705D">
      <w:pPr>
        <w:pStyle w:val="ListParagraph"/>
        <w:numPr>
          <w:ilvl w:val="0"/>
          <w:numId w:val="60"/>
        </w:numPr>
        <w:spacing w:after="1080"/>
        <w:contextualSpacing w:val="0"/>
      </w:pPr>
      <w:r>
        <w:t>Electronic financial management and reporting administrative records</w:t>
      </w:r>
    </w:p>
    <w:p w:rsidR="00152D92" w:rsidRDefault="00152D92" w:rsidP="00A6705D">
      <w:pPr>
        <w:pStyle w:val="ListParagraph"/>
        <w:numPr>
          <w:ilvl w:val="0"/>
          <w:numId w:val="60"/>
        </w:numPr>
        <w:spacing w:after="1080"/>
        <w:contextualSpacing w:val="0"/>
      </w:pPr>
      <w:r>
        <w:t xml:space="preserve">Financial </w:t>
      </w:r>
      <w:r w:rsidR="00815F86">
        <w:t>transaction</w:t>
      </w:r>
      <w:r>
        <w:t xml:space="preserve"> records</w:t>
      </w:r>
    </w:p>
    <w:p w:rsidR="00152D92" w:rsidRDefault="00152D92" w:rsidP="00A6705D">
      <w:pPr>
        <w:pStyle w:val="ListParagraph"/>
        <w:numPr>
          <w:ilvl w:val="0"/>
          <w:numId w:val="60"/>
        </w:numPr>
        <w:spacing w:after="1080"/>
        <w:contextualSpacing w:val="0"/>
      </w:pPr>
      <w:r>
        <w:t>Program subject files</w:t>
      </w:r>
    </w:p>
    <w:p w:rsidR="00152D92" w:rsidRDefault="00152D92" w:rsidP="00A6705D">
      <w:pPr>
        <w:pStyle w:val="ListParagraph"/>
        <w:numPr>
          <w:ilvl w:val="0"/>
          <w:numId w:val="60"/>
        </w:numPr>
        <w:spacing w:after="1080"/>
        <w:contextualSpacing w:val="0"/>
      </w:pPr>
      <w:r>
        <w:t>Unsolicited contractor bids</w:t>
      </w:r>
    </w:p>
    <w:bookmarkEnd w:id="17"/>
    <w:p w:rsidR="00504A7D" w:rsidRDefault="0045218D">
      <w:pPr>
        <w:sectPr w:rsidR="00504A7D" w:rsidSect="00A6705D">
          <w:pgSz w:w="12240" w:h="15840"/>
          <w:pgMar w:top="1080" w:right="1440" w:bottom="1080" w:left="1440" w:header="720" w:footer="720" w:gutter="0"/>
          <w:cols w:space="720"/>
          <w:docGrid w:linePitch="360"/>
        </w:sectPr>
      </w:pPr>
      <w:r>
        <w:br w:type="page"/>
      </w:r>
    </w:p>
    <w:p w:rsidR="00F40601" w:rsidRDefault="00B11ECC" w:rsidP="00FE7E55">
      <w:pPr>
        <w:pStyle w:val="Heading1"/>
      </w:pPr>
      <w:bookmarkStart w:id="19" w:name="_Toc510678294"/>
      <w:bookmarkStart w:id="20" w:name="_Toc514912199"/>
      <w:bookmarkStart w:id="21" w:name="_Toc15968279"/>
      <w:r>
        <w:lastRenderedPageBreak/>
        <w:t>Module 2 Assignment</w:t>
      </w:r>
      <w:bookmarkEnd w:id="19"/>
      <w:bookmarkEnd w:id="20"/>
      <w:bookmarkEnd w:id="21"/>
    </w:p>
    <w:p w:rsidR="00B11ECC" w:rsidRDefault="00FE7E55">
      <w:r>
        <w:t xml:space="preserve">Your assignment for Module 2 </w:t>
      </w:r>
      <w:r w:rsidR="00A6705D">
        <w:t>is</w:t>
      </w:r>
      <w:r>
        <w:t>:</w:t>
      </w:r>
    </w:p>
    <w:p w:rsidR="00FE7E55" w:rsidRDefault="00FE7E55" w:rsidP="006E7315">
      <w:pPr>
        <w:pStyle w:val="ListParagraph"/>
        <w:numPr>
          <w:ilvl w:val="0"/>
          <w:numId w:val="6"/>
        </w:numPr>
        <w:spacing w:before="240" w:after="600"/>
        <w:ind w:left="1080"/>
        <w:contextualSpacing w:val="0"/>
      </w:pPr>
      <w:r>
        <w:t>Identify and describe one area or one type of records</w:t>
      </w:r>
      <w:r w:rsidR="00ED17EC">
        <w:t xml:space="preserve"> (any format)</w:t>
      </w:r>
      <w:r>
        <w:t xml:space="preserve"> in your program</w:t>
      </w:r>
      <w:r w:rsidR="009749F8">
        <w:t xml:space="preserve"> or office that could benefit from </w:t>
      </w:r>
      <w:r>
        <w:t xml:space="preserve">a records </w:t>
      </w:r>
      <w:proofErr w:type="gramStart"/>
      <w:r>
        <w:t>clean-up</w:t>
      </w:r>
      <w:proofErr w:type="gramEnd"/>
      <w:r>
        <w:t xml:space="preserve">.  Use the </w:t>
      </w:r>
      <w:r w:rsidR="0062647F" w:rsidRPr="0062647F">
        <w:rPr>
          <w:rStyle w:val="SubtleEmphasis"/>
        </w:rPr>
        <w:t>Planning an Office Records Clean-Up</w:t>
      </w:r>
      <w:r w:rsidR="0062647F">
        <w:t xml:space="preserve"> </w:t>
      </w:r>
      <w:r w:rsidR="009749F8">
        <w:t>questions</w:t>
      </w:r>
      <w:r>
        <w:t xml:space="preserve"> </w:t>
      </w:r>
      <w:r w:rsidR="00A6705D">
        <w:t xml:space="preserve">below </w:t>
      </w:r>
      <w:r>
        <w:t>to plan your approach</w:t>
      </w:r>
      <w:r w:rsidRPr="0062647F">
        <w:t>.</w:t>
      </w:r>
      <w:r>
        <w:t xml:space="preserve">  </w:t>
      </w:r>
    </w:p>
    <w:p w:rsidR="00FE7E55" w:rsidRDefault="00FE7E55" w:rsidP="00482C31">
      <w:pPr>
        <w:pStyle w:val="Heading2"/>
      </w:pPr>
      <w:bookmarkStart w:id="22" w:name="_Hlk513020650"/>
      <w:bookmarkStart w:id="23" w:name="_Toc15968280"/>
      <w:r>
        <w:t>Planning an Office Records Clean-Up</w:t>
      </w:r>
      <w:bookmarkEnd w:id="23"/>
    </w:p>
    <w:p w:rsidR="00FE7E55" w:rsidRDefault="00482C31" w:rsidP="00ED17EC">
      <w:pPr>
        <w:spacing w:after="720"/>
      </w:pPr>
      <w:r>
        <w:t xml:space="preserve">Choose an area or a type of records in your program/office that needs </w:t>
      </w:r>
      <w:proofErr w:type="gramStart"/>
      <w:r>
        <w:t>a records</w:t>
      </w:r>
      <w:proofErr w:type="gramEnd"/>
      <w:r>
        <w:t xml:space="preserve"> clean-up.  </w:t>
      </w:r>
      <w:r w:rsidR="00A6705D">
        <w:t>Consider the following questions:</w:t>
      </w:r>
    </w:p>
    <w:p w:rsidR="00482C31" w:rsidRDefault="00482C31" w:rsidP="00ED17EC">
      <w:pPr>
        <w:spacing w:after="960"/>
      </w:pPr>
      <w:r>
        <w:t>What area (or type of records) could use a cleanup?</w:t>
      </w:r>
    </w:p>
    <w:p w:rsidR="00482C31" w:rsidRDefault="00482C31" w:rsidP="00ED17EC">
      <w:pPr>
        <w:spacing w:after="960"/>
      </w:pPr>
      <w:r>
        <w:t>When would be a good time to tackle this?</w:t>
      </w:r>
    </w:p>
    <w:p w:rsidR="00482C31" w:rsidRDefault="00482C31" w:rsidP="00ED17EC">
      <w:pPr>
        <w:spacing w:after="960"/>
      </w:pPr>
      <w:r>
        <w:t>Who should be involved?</w:t>
      </w:r>
    </w:p>
    <w:p w:rsidR="00482C31" w:rsidRDefault="00482C31" w:rsidP="00ED17EC">
      <w:pPr>
        <w:spacing w:after="960"/>
      </w:pPr>
      <w:r>
        <w:t>How will you approach them?</w:t>
      </w:r>
    </w:p>
    <w:p w:rsidR="00482C31" w:rsidRDefault="00482C31" w:rsidP="00ED17EC">
      <w:pPr>
        <w:spacing w:after="960"/>
      </w:pPr>
      <w:r>
        <w:t>What supplies and space (physical and virtual) will you need?</w:t>
      </w:r>
    </w:p>
    <w:p w:rsidR="00FE7E55" w:rsidRDefault="00482C31" w:rsidP="00ED17EC">
      <w:pPr>
        <w:spacing w:after="960"/>
      </w:pPr>
      <w:r>
        <w:t>How will you celebrate and communicate your success?</w:t>
      </w:r>
    </w:p>
    <w:bookmarkEnd w:id="22"/>
    <w:sectPr w:rsidR="00FE7E55" w:rsidSect="00A6705D">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D61" w:rsidRDefault="005E1D61" w:rsidP="00890601">
      <w:pPr>
        <w:spacing w:before="0" w:after="0" w:line="240" w:lineRule="auto"/>
      </w:pPr>
      <w:r>
        <w:separator/>
      </w:r>
    </w:p>
  </w:endnote>
  <w:endnote w:type="continuationSeparator" w:id="0">
    <w:p w:rsidR="005E1D61" w:rsidRDefault="005E1D61"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263316"/>
      <w:docPartObj>
        <w:docPartGallery w:val="Page Numbers (Bottom of Page)"/>
        <w:docPartUnique/>
      </w:docPartObj>
    </w:sdtPr>
    <w:sdtEndPr>
      <w:rPr>
        <w:noProof/>
      </w:rPr>
    </w:sdtEndPr>
    <w:sdtContent>
      <w:p w:rsidR="005E1D61" w:rsidRDefault="005E1D61">
        <w:pPr>
          <w:pStyle w:val="Footer"/>
          <w:jc w:val="right"/>
        </w:pPr>
        <w:r>
          <w:fldChar w:fldCharType="begin"/>
        </w:r>
        <w:r>
          <w:instrText xml:space="preserve"> PAGE   \* MERGEFORMAT </w:instrText>
        </w:r>
        <w:r>
          <w:fldChar w:fldCharType="separate"/>
        </w:r>
        <w:r w:rsidR="00493819">
          <w:rPr>
            <w:noProof/>
          </w:rPr>
          <w:t>2</w:t>
        </w:r>
        <w:r>
          <w:rPr>
            <w:noProof/>
          </w:rPr>
          <w:fldChar w:fldCharType="end"/>
        </w:r>
      </w:p>
    </w:sdtContent>
  </w:sdt>
  <w:p w:rsidR="005E1D61" w:rsidRDefault="005E1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D61" w:rsidRDefault="005E1D61" w:rsidP="00890601">
      <w:pPr>
        <w:spacing w:before="0" w:after="0" w:line="240" w:lineRule="auto"/>
      </w:pPr>
      <w:r>
        <w:separator/>
      </w:r>
    </w:p>
  </w:footnote>
  <w:footnote w:type="continuationSeparator" w:id="0">
    <w:p w:rsidR="005E1D61" w:rsidRDefault="005E1D61"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D61" w:rsidRPr="002D1042" w:rsidRDefault="005E1D61" w:rsidP="002D1042">
    <w:pPr>
      <w:pStyle w:val="Header"/>
      <w:spacing w:before="0" w:after="0" w:line="240" w:lineRule="auto"/>
      <w:jc w:val="right"/>
      <w:rPr>
        <w:sz w:val="20"/>
      </w:rPr>
    </w:pPr>
    <w:r w:rsidRPr="002D1042">
      <w:rPr>
        <w:sz w:val="20"/>
      </w:rPr>
      <w:t xml:space="preserve">Federal Records Management – Level 1 – </w:t>
    </w:r>
    <w:r>
      <w:rPr>
        <w:sz w:val="20"/>
      </w:rPr>
      <w:t>Maintenance &amp; Use</w:t>
    </w:r>
  </w:p>
  <w:p w:rsidR="005E1D61" w:rsidRPr="002D1042" w:rsidRDefault="005E1D61"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01B93"/>
    <w:multiLevelType w:val="hybridMultilevel"/>
    <w:tmpl w:val="FD3A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5C679C"/>
    <w:multiLevelType w:val="hybridMultilevel"/>
    <w:tmpl w:val="31BA3328"/>
    <w:lvl w:ilvl="0" w:tplc="E0ACD5FA">
      <w:numFmt w:val="bullet"/>
      <w:lvlText w:val="•"/>
      <w:lvlJc w:val="left"/>
      <w:pPr>
        <w:ind w:left="720" w:hanging="360"/>
      </w:pPr>
      <w:rPr>
        <w:rFonts w:ascii="Century Gothic" w:eastAsiaTheme="minorEastAsia"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50627A6"/>
    <w:multiLevelType w:val="hybridMultilevel"/>
    <w:tmpl w:val="9D147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7"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D8C14DA"/>
    <w:multiLevelType w:val="hybridMultilevel"/>
    <w:tmpl w:val="64EAE0DE"/>
    <w:lvl w:ilvl="0" w:tplc="E0ACD5FA">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1320653"/>
    <w:multiLevelType w:val="hybridMultilevel"/>
    <w:tmpl w:val="B4A48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1"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3"/>
  </w:num>
  <w:num w:numId="3">
    <w:abstractNumId w:val="31"/>
  </w:num>
  <w:num w:numId="4">
    <w:abstractNumId w:val="30"/>
  </w:num>
  <w:num w:numId="5">
    <w:abstractNumId w:val="1"/>
  </w:num>
  <w:num w:numId="6">
    <w:abstractNumId w:val="22"/>
  </w:num>
  <w:num w:numId="7">
    <w:abstractNumId w:val="34"/>
  </w:num>
  <w:num w:numId="8">
    <w:abstractNumId w:val="61"/>
  </w:num>
  <w:num w:numId="9">
    <w:abstractNumId w:val="19"/>
  </w:num>
  <w:num w:numId="10">
    <w:abstractNumId w:val="38"/>
  </w:num>
  <w:num w:numId="11">
    <w:abstractNumId w:val="59"/>
  </w:num>
  <w:num w:numId="12">
    <w:abstractNumId w:val="68"/>
  </w:num>
  <w:num w:numId="13">
    <w:abstractNumId w:val="64"/>
  </w:num>
  <w:num w:numId="14">
    <w:abstractNumId w:val="14"/>
  </w:num>
  <w:num w:numId="15">
    <w:abstractNumId w:val="47"/>
  </w:num>
  <w:num w:numId="16">
    <w:abstractNumId w:val="69"/>
  </w:num>
  <w:num w:numId="17">
    <w:abstractNumId w:val="44"/>
  </w:num>
  <w:num w:numId="18">
    <w:abstractNumId w:val="49"/>
  </w:num>
  <w:num w:numId="19">
    <w:abstractNumId w:val="10"/>
  </w:num>
  <w:num w:numId="20">
    <w:abstractNumId w:val="48"/>
  </w:num>
  <w:num w:numId="21">
    <w:abstractNumId w:val="21"/>
  </w:num>
  <w:num w:numId="22">
    <w:abstractNumId w:val="3"/>
  </w:num>
  <w:num w:numId="23">
    <w:abstractNumId w:val="70"/>
  </w:num>
  <w:num w:numId="24">
    <w:abstractNumId w:val="29"/>
  </w:num>
  <w:num w:numId="25">
    <w:abstractNumId w:val="72"/>
  </w:num>
  <w:num w:numId="26">
    <w:abstractNumId w:val="57"/>
  </w:num>
  <w:num w:numId="27">
    <w:abstractNumId w:val="11"/>
  </w:num>
  <w:num w:numId="28">
    <w:abstractNumId w:val="71"/>
  </w:num>
  <w:num w:numId="29">
    <w:abstractNumId w:val="5"/>
  </w:num>
  <w:num w:numId="30">
    <w:abstractNumId w:val="46"/>
  </w:num>
  <w:num w:numId="31">
    <w:abstractNumId w:val="40"/>
  </w:num>
  <w:num w:numId="32">
    <w:abstractNumId w:val="4"/>
  </w:num>
  <w:num w:numId="33">
    <w:abstractNumId w:val="58"/>
  </w:num>
  <w:num w:numId="34">
    <w:abstractNumId w:val="26"/>
  </w:num>
  <w:num w:numId="35">
    <w:abstractNumId w:val="6"/>
  </w:num>
  <w:num w:numId="36">
    <w:abstractNumId w:val="35"/>
  </w:num>
  <w:num w:numId="37">
    <w:abstractNumId w:val="43"/>
  </w:num>
  <w:num w:numId="38">
    <w:abstractNumId w:val="50"/>
  </w:num>
  <w:num w:numId="39">
    <w:abstractNumId w:val="20"/>
  </w:num>
  <w:num w:numId="40">
    <w:abstractNumId w:val="17"/>
  </w:num>
  <w:num w:numId="41">
    <w:abstractNumId w:val="67"/>
  </w:num>
  <w:num w:numId="42">
    <w:abstractNumId w:val="32"/>
  </w:num>
  <w:num w:numId="43">
    <w:abstractNumId w:val="16"/>
  </w:num>
  <w:num w:numId="44">
    <w:abstractNumId w:val="28"/>
  </w:num>
  <w:num w:numId="45">
    <w:abstractNumId w:val="76"/>
    <w:lvlOverride w:ilvl="0"/>
    <w:lvlOverride w:ilvl="1">
      <w:startOverride w:val="1"/>
    </w:lvlOverride>
    <w:lvlOverride w:ilvl="2"/>
    <w:lvlOverride w:ilvl="3"/>
    <w:lvlOverride w:ilvl="4"/>
    <w:lvlOverride w:ilvl="5"/>
    <w:lvlOverride w:ilvl="6"/>
    <w:lvlOverride w:ilvl="7"/>
    <w:lvlOverride w:ilvl="8"/>
  </w:num>
  <w:num w:numId="46">
    <w:abstractNumId w:val="33"/>
    <w:lvlOverride w:ilvl="0"/>
    <w:lvlOverride w:ilvl="1">
      <w:startOverride w:val="1"/>
    </w:lvlOverride>
    <w:lvlOverride w:ilvl="2"/>
    <w:lvlOverride w:ilvl="3"/>
    <w:lvlOverride w:ilvl="4"/>
    <w:lvlOverride w:ilvl="5"/>
    <w:lvlOverride w:ilvl="6"/>
    <w:lvlOverride w:ilvl="7"/>
    <w:lvlOverride w:ilvl="8"/>
  </w:num>
  <w:num w:numId="47">
    <w:abstractNumId w:val="9"/>
  </w:num>
  <w:num w:numId="48">
    <w:abstractNumId w:val="62"/>
  </w:num>
  <w:num w:numId="49">
    <w:abstractNumId w:val="54"/>
  </w:num>
  <w:num w:numId="50">
    <w:abstractNumId w:val="42"/>
  </w:num>
  <w:num w:numId="51">
    <w:abstractNumId w:val="8"/>
  </w:num>
  <w:num w:numId="52">
    <w:abstractNumId w:val="51"/>
  </w:num>
  <w:num w:numId="53">
    <w:abstractNumId w:val="25"/>
  </w:num>
  <w:num w:numId="54">
    <w:abstractNumId w:val="27"/>
  </w:num>
  <w:num w:numId="55">
    <w:abstractNumId w:val="15"/>
  </w:num>
  <w:num w:numId="56">
    <w:abstractNumId w:val="45"/>
  </w:num>
  <w:num w:numId="57">
    <w:abstractNumId w:val="12"/>
  </w:num>
  <w:num w:numId="58">
    <w:abstractNumId w:val="24"/>
  </w:num>
  <w:num w:numId="59">
    <w:abstractNumId w:val="73"/>
  </w:num>
  <w:num w:numId="60">
    <w:abstractNumId w:val="60"/>
  </w:num>
  <w:num w:numId="61">
    <w:abstractNumId w:val="41"/>
  </w:num>
  <w:num w:numId="62">
    <w:abstractNumId w:val="75"/>
  </w:num>
  <w:num w:numId="63">
    <w:abstractNumId w:val="18"/>
  </w:num>
  <w:num w:numId="64">
    <w:abstractNumId w:val="7"/>
  </w:num>
  <w:num w:numId="65">
    <w:abstractNumId w:val="66"/>
  </w:num>
  <w:num w:numId="66">
    <w:abstractNumId w:val="36"/>
  </w:num>
  <w:num w:numId="67">
    <w:abstractNumId w:val="23"/>
  </w:num>
  <w:num w:numId="68">
    <w:abstractNumId w:val="52"/>
  </w:num>
  <w:num w:numId="69">
    <w:abstractNumId w:val="74"/>
  </w:num>
  <w:num w:numId="70">
    <w:abstractNumId w:val="65"/>
  </w:num>
  <w:num w:numId="71">
    <w:abstractNumId w:val="53"/>
  </w:num>
  <w:num w:numId="72">
    <w:abstractNumId w:val="13"/>
  </w:num>
  <w:num w:numId="73">
    <w:abstractNumId w:val="2"/>
  </w:num>
  <w:num w:numId="74">
    <w:abstractNumId w:val="37"/>
  </w:num>
  <w:num w:numId="75">
    <w:abstractNumId w:val="55"/>
  </w:num>
  <w:num w:numId="76">
    <w:abstractNumId w:val="39"/>
  </w:num>
  <w:num w:numId="77">
    <w:abstractNumId w:val="5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2E6"/>
    <w:rsid w:val="00000968"/>
    <w:rsid w:val="00004B15"/>
    <w:rsid w:val="00007A04"/>
    <w:rsid w:val="00023B3C"/>
    <w:rsid w:val="00027A58"/>
    <w:rsid w:val="000376AB"/>
    <w:rsid w:val="00053E66"/>
    <w:rsid w:val="0005600E"/>
    <w:rsid w:val="00056843"/>
    <w:rsid w:val="00057924"/>
    <w:rsid w:val="00064FEF"/>
    <w:rsid w:val="00090E89"/>
    <w:rsid w:val="00096DDA"/>
    <w:rsid w:val="000A17BE"/>
    <w:rsid w:val="000A21D8"/>
    <w:rsid w:val="000A2CCB"/>
    <w:rsid w:val="000C22C4"/>
    <w:rsid w:val="000E1FDA"/>
    <w:rsid w:val="000E65FF"/>
    <w:rsid w:val="000E7483"/>
    <w:rsid w:val="00116F5A"/>
    <w:rsid w:val="00117E73"/>
    <w:rsid w:val="00120096"/>
    <w:rsid w:val="001209BB"/>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2A93"/>
    <w:rsid w:val="002240F5"/>
    <w:rsid w:val="00225687"/>
    <w:rsid w:val="002302AE"/>
    <w:rsid w:val="00242FC8"/>
    <w:rsid w:val="002447EE"/>
    <w:rsid w:val="00247EA9"/>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D1042"/>
    <w:rsid w:val="002D21CE"/>
    <w:rsid w:val="002E03C1"/>
    <w:rsid w:val="002E28CD"/>
    <w:rsid w:val="002E7E68"/>
    <w:rsid w:val="002F0028"/>
    <w:rsid w:val="0030302F"/>
    <w:rsid w:val="00321713"/>
    <w:rsid w:val="0033353C"/>
    <w:rsid w:val="00335AF7"/>
    <w:rsid w:val="00343F4B"/>
    <w:rsid w:val="003515BF"/>
    <w:rsid w:val="0035412D"/>
    <w:rsid w:val="00361F26"/>
    <w:rsid w:val="00362BD9"/>
    <w:rsid w:val="003639CB"/>
    <w:rsid w:val="0037410B"/>
    <w:rsid w:val="00386014"/>
    <w:rsid w:val="00387DD4"/>
    <w:rsid w:val="003902E6"/>
    <w:rsid w:val="00392F14"/>
    <w:rsid w:val="003938EE"/>
    <w:rsid w:val="00397000"/>
    <w:rsid w:val="00397070"/>
    <w:rsid w:val="003C5669"/>
    <w:rsid w:val="003C7865"/>
    <w:rsid w:val="003C7899"/>
    <w:rsid w:val="003C7BFD"/>
    <w:rsid w:val="003D1A37"/>
    <w:rsid w:val="003D290D"/>
    <w:rsid w:val="003D4A05"/>
    <w:rsid w:val="003D5E68"/>
    <w:rsid w:val="00411B03"/>
    <w:rsid w:val="00413F3C"/>
    <w:rsid w:val="004153DD"/>
    <w:rsid w:val="00415BEA"/>
    <w:rsid w:val="00422158"/>
    <w:rsid w:val="00427B67"/>
    <w:rsid w:val="00432AB9"/>
    <w:rsid w:val="00441FD7"/>
    <w:rsid w:val="0044675F"/>
    <w:rsid w:val="00446964"/>
    <w:rsid w:val="0045218D"/>
    <w:rsid w:val="00453485"/>
    <w:rsid w:val="00473118"/>
    <w:rsid w:val="0047434C"/>
    <w:rsid w:val="00482C31"/>
    <w:rsid w:val="00491E0A"/>
    <w:rsid w:val="00493819"/>
    <w:rsid w:val="004A0202"/>
    <w:rsid w:val="004C0227"/>
    <w:rsid w:val="004C3574"/>
    <w:rsid w:val="004E0607"/>
    <w:rsid w:val="004E50DC"/>
    <w:rsid w:val="004E5FA5"/>
    <w:rsid w:val="0050282A"/>
    <w:rsid w:val="00502B88"/>
    <w:rsid w:val="00504A7D"/>
    <w:rsid w:val="00511899"/>
    <w:rsid w:val="0051704A"/>
    <w:rsid w:val="00522690"/>
    <w:rsid w:val="00527187"/>
    <w:rsid w:val="00541101"/>
    <w:rsid w:val="005424EB"/>
    <w:rsid w:val="0054315E"/>
    <w:rsid w:val="00546384"/>
    <w:rsid w:val="005463EF"/>
    <w:rsid w:val="00546983"/>
    <w:rsid w:val="0055124B"/>
    <w:rsid w:val="0055212A"/>
    <w:rsid w:val="00557882"/>
    <w:rsid w:val="005605AE"/>
    <w:rsid w:val="00573084"/>
    <w:rsid w:val="00574DE9"/>
    <w:rsid w:val="00581F21"/>
    <w:rsid w:val="00593BDE"/>
    <w:rsid w:val="005A6CA8"/>
    <w:rsid w:val="005B18FF"/>
    <w:rsid w:val="005B65F2"/>
    <w:rsid w:val="005C0441"/>
    <w:rsid w:val="005C1108"/>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E7315"/>
    <w:rsid w:val="006F02E4"/>
    <w:rsid w:val="006F1850"/>
    <w:rsid w:val="006F4AF3"/>
    <w:rsid w:val="007234B5"/>
    <w:rsid w:val="007304FB"/>
    <w:rsid w:val="00730F13"/>
    <w:rsid w:val="0073232A"/>
    <w:rsid w:val="00740A99"/>
    <w:rsid w:val="007410EA"/>
    <w:rsid w:val="00766368"/>
    <w:rsid w:val="00781FC6"/>
    <w:rsid w:val="00783A98"/>
    <w:rsid w:val="00784313"/>
    <w:rsid w:val="007A2E59"/>
    <w:rsid w:val="007A35CA"/>
    <w:rsid w:val="007A4B5C"/>
    <w:rsid w:val="007A64F5"/>
    <w:rsid w:val="007B0FD6"/>
    <w:rsid w:val="007B2FAD"/>
    <w:rsid w:val="007B76D4"/>
    <w:rsid w:val="007B7A24"/>
    <w:rsid w:val="007C58C0"/>
    <w:rsid w:val="007D08F7"/>
    <w:rsid w:val="007D4092"/>
    <w:rsid w:val="007E0146"/>
    <w:rsid w:val="007E16CB"/>
    <w:rsid w:val="007E3220"/>
    <w:rsid w:val="0080772F"/>
    <w:rsid w:val="00815442"/>
    <w:rsid w:val="00815D9B"/>
    <w:rsid w:val="00815F86"/>
    <w:rsid w:val="008234BD"/>
    <w:rsid w:val="008257AD"/>
    <w:rsid w:val="00826BBF"/>
    <w:rsid w:val="00826DE6"/>
    <w:rsid w:val="008303F0"/>
    <w:rsid w:val="00846B13"/>
    <w:rsid w:val="00851B2E"/>
    <w:rsid w:val="00881401"/>
    <w:rsid w:val="008863EF"/>
    <w:rsid w:val="00887CF4"/>
    <w:rsid w:val="00890601"/>
    <w:rsid w:val="0089370C"/>
    <w:rsid w:val="008A3C39"/>
    <w:rsid w:val="008A7295"/>
    <w:rsid w:val="008B2B66"/>
    <w:rsid w:val="008B3340"/>
    <w:rsid w:val="008B702B"/>
    <w:rsid w:val="008C0E4A"/>
    <w:rsid w:val="008C744F"/>
    <w:rsid w:val="008D1758"/>
    <w:rsid w:val="008D560A"/>
    <w:rsid w:val="008E21F2"/>
    <w:rsid w:val="00910F1E"/>
    <w:rsid w:val="00921A1E"/>
    <w:rsid w:val="00933358"/>
    <w:rsid w:val="00955CBB"/>
    <w:rsid w:val="00960467"/>
    <w:rsid w:val="00963139"/>
    <w:rsid w:val="00966506"/>
    <w:rsid w:val="0097350B"/>
    <w:rsid w:val="0097433A"/>
    <w:rsid w:val="009749F8"/>
    <w:rsid w:val="00985809"/>
    <w:rsid w:val="00992027"/>
    <w:rsid w:val="00994BF7"/>
    <w:rsid w:val="009A0383"/>
    <w:rsid w:val="009C049F"/>
    <w:rsid w:val="009C65C4"/>
    <w:rsid w:val="009D68B7"/>
    <w:rsid w:val="009E59F4"/>
    <w:rsid w:val="009F49F8"/>
    <w:rsid w:val="009F7AF3"/>
    <w:rsid w:val="00A01C67"/>
    <w:rsid w:val="00A04403"/>
    <w:rsid w:val="00A119FB"/>
    <w:rsid w:val="00A24357"/>
    <w:rsid w:val="00A3731F"/>
    <w:rsid w:val="00A433EE"/>
    <w:rsid w:val="00A509F2"/>
    <w:rsid w:val="00A521AB"/>
    <w:rsid w:val="00A550CA"/>
    <w:rsid w:val="00A6186A"/>
    <w:rsid w:val="00A6705D"/>
    <w:rsid w:val="00A677F7"/>
    <w:rsid w:val="00A71F32"/>
    <w:rsid w:val="00A81A76"/>
    <w:rsid w:val="00A9204E"/>
    <w:rsid w:val="00AA3EF7"/>
    <w:rsid w:val="00AA57D0"/>
    <w:rsid w:val="00AB0499"/>
    <w:rsid w:val="00AC3894"/>
    <w:rsid w:val="00AD3820"/>
    <w:rsid w:val="00AD402A"/>
    <w:rsid w:val="00AD561F"/>
    <w:rsid w:val="00AE491D"/>
    <w:rsid w:val="00AE5AD1"/>
    <w:rsid w:val="00AE6E05"/>
    <w:rsid w:val="00AF3507"/>
    <w:rsid w:val="00AF3534"/>
    <w:rsid w:val="00AF75A0"/>
    <w:rsid w:val="00B0580A"/>
    <w:rsid w:val="00B11ECC"/>
    <w:rsid w:val="00B22C77"/>
    <w:rsid w:val="00B262E1"/>
    <w:rsid w:val="00B3114A"/>
    <w:rsid w:val="00B371CB"/>
    <w:rsid w:val="00B40A92"/>
    <w:rsid w:val="00B62368"/>
    <w:rsid w:val="00B65564"/>
    <w:rsid w:val="00B66159"/>
    <w:rsid w:val="00B765DD"/>
    <w:rsid w:val="00B81448"/>
    <w:rsid w:val="00B92881"/>
    <w:rsid w:val="00BA0C15"/>
    <w:rsid w:val="00BA113A"/>
    <w:rsid w:val="00BA5CB7"/>
    <w:rsid w:val="00BA5F94"/>
    <w:rsid w:val="00BA6B54"/>
    <w:rsid w:val="00BC1008"/>
    <w:rsid w:val="00BC2526"/>
    <w:rsid w:val="00BC3CF6"/>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F426B"/>
    <w:rsid w:val="00CF4831"/>
    <w:rsid w:val="00D01A3A"/>
    <w:rsid w:val="00D1023C"/>
    <w:rsid w:val="00D157F0"/>
    <w:rsid w:val="00D1661D"/>
    <w:rsid w:val="00D22B54"/>
    <w:rsid w:val="00D32061"/>
    <w:rsid w:val="00D44FDB"/>
    <w:rsid w:val="00D5175F"/>
    <w:rsid w:val="00D54AD6"/>
    <w:rsid w:val="00D56F20"/>
    <w:rsid w:val="00D576D2"/>
    <w:rsid w:val="00D64F21"/>
    <w:rsid w:val="00D66D2B"/>
    <w:rsid w:val="00D819CA"/>
    <w:rsid w:val="00D85CE0"/>
    <w:rsid w:val="00D873FB"/>
    <w:rsid w:val="00D8795D"/>
    <w:rsid w:val="00D95AB2"/>
    <w:rsid w:val="00DA0517"/>
    <w:rsid w:val="00DA0665"/>
    <w:rsid w:val="00DB0B7D"/>
    <w:rsid w:val="00DB386C"/>
    <w:rsid w:val="00DC36DD"/>
    <w:rsid w:val="00DC37FD"/>
    <w:rsid w:val="00DC4F98"/>
    <w:rsid w:val="00DE0D5C"/>
    <w:rsid w:val="00DE5703"/>
    <w:rsid w:val="00DF3072"/>
    <w:rsid w:val="00DF49FF"/>
    <w:rsid w:val="00E0003B"/>
    <w:rsid w:val="00E13612"/>
    <w:rsid w:val="00E230D1"/>
    <w:rsid w:val="00E23DDF"/>
    <w:rsid w:val="00E26794"/>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C3F61"/>
    <w:rsid w:val="00FD3A56"/>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764279BF"/>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elements/1.1/"/>
    <ds:schemaRef ds:uri="4873beb7-5857-4685-be1f-d57550cc96cc"/>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4.xml><?xml version="1.0" encoding="utf-8"?>
<ds:datastoreItem xmlns:ds="http://schemas.openxmlformats.org/officeDocument/2006/customXml" ds:itemID="{40430AAD-9D09-45DC-9E31-15B9DB5C0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353</TotalTime>
  <Pages>14</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Federal Records Management Maintenance and Use, Module 2, Records Clean-Up - Participant Guide</vt:lpstr>
    </vt:vector>
  </TitlesOfParts>
  <Company>U.S. National Archives and Records Administration</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Maintenance and Use, Module 2, Records Clean-Up - Participant Guide</dc:title>
  <dc:subject/>
  <dc:creator>RRiat</dc:creator>
  <cp:keywords/>
  <dc:description/>
  <cp:lastModifiedBy>RRiat</cp:lastModifiedBy>
  <cp:revision>18</cp:revision>
  <cp:lastPrinted>2019-07-15T16:35:00Z</cp:lastPrinted>
  <dcterms:created xsi:type="dcterms:W3CDTF">2018-09-11T14:27:00Z</dcterms:created>
  <dcterms:modified xsi:type="dcterms:W3CDTF">2019-08-06T12:18:00Z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