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CB8B76" w14:textId="77777777" w:rsidR="003902E6" w:rsidRDefault="00527187" w:rsidP="00681037">
      <w:pPr>
        <w:pStyle w:val="Heading4"/>
      </w:pPr>
      <w:r>
        <w:t>National Archives and Records Administration</w:t>
      </w:r>
    </w:p>
    <w:p w14:paraId="33B2290D" w14:textId="77777777" w:rsidR="00681037" w:rsidRDefault="00681037" w:rsidP="00681037">
      <w:pPr>
        <w:pStyle w:val="Title"/>
      </w:pPr>
    </w:p>
    <w:p w14:paraId="54DDA2E0" w14:textId="77777777" w:rsidR="00527187" w:rsidRDefault="00527187" w:rsidP="00681037">
      <w:pPr>
        <w:pStyle w:val="Title"/>
      </w:pPr>
      <w:r>
        <w:t>Federal Records Management Level 1:  Creat</w:t>
      </w:r>
      <w:r w:rsidR="00D1023C">
        <w:t>ion</w:t>
      </w:r>
      <w:r>
        <w:t xml:space="preserve"> and Recei</w:t>
      </w:r>
      <w:r w:rsidR="00D1023C">
        <w:t>pt</w:t>
      </w:r>
    </w:p>
    <w:p w14:paraId="55BE4C55" w14:textId="77777777" w:rsidR="00527187" w:rsidRDefault="00527187" w:rsidP="00681037">
      <w:pPr>
        <w:pStyle w:val="Title"/>
      </w:pPr>
      <w:r>
        <w:t>Participant Guide</w:t>
      </w:r>
    </w:p>
    <w:p w14:paraId="0083345F" w14:textId="4B5B5CEA" w:rsidR="00DD5C3D" w:rsidRPr="00C919E4" w:rsidRDefault="00DD5C3D" w:rsidP="00DD5C3D">
      <w:pPr>
        <w:rPr>
          <w:sz w:val="40"/>
          <w:szCs w:val="40"/>
        </w:rPr>
      </w:pPr>
      <w:r w:rsidRPr="00C919E4">
        <w:rPr>
          <w:sz w:val="40"/>
          <w:szCs w:val="40"/>
        </w:rPr>
        <w:t>Module 3 – S</w:t>
      </w:r>
      <w:r w:rsidR="00842114">
        <w:rPr>
          <w:sz w:val="40"/>
          <w:szCs w:val="40"/>
        </w:rPr>
        <w:t>eparating Files for Filing</w:t>
      </w:r>
    </w:p>
    <w:p w14:paraId="447CCBAC" w14:textId="77777777" w:rsidR="00271E88" w:rsidRDefault="00271E88" w:rsidP="00271E88"/>
    <w:p w14:paraId="029E50F1" w14:textId="77777777" w:rsidR="00271E88" w:rsidRDefault="00271E88" w:rsidP="00271E88">
      <w:pPr>
        <w:sectPr w:rsidR="00271E88">
          <w:pgSz w:w="12240" w:h="15840"/>
          <w:pgMar w:top="1440" w:right="1440" w:bottom="1440" w:left="1440" w:header="720" w:footer="720" w:gutter="0"/>
          <w:cols w:space="720"/>
          <w:docGrid w:linePitch="360"/>
        </w:sectPr>
      </w:pPr>
    </w:p>
    <w:sdt>
      <w:sdtPr>
        <w:rPr>
          <w:b w:val="0"/>
          <w:color w:val="auto"/>
          <w:spacing w:val="0"/>
          <w:sz w:val="24"/>
          <w:szCs w:val="20"/>
        </w:rPr>
        <w:id w:val="-421269282"/>
        <w:docPartObj>
          <w:docPartGallery w:val="Table of Contents"/>
          <w:docPartUnique/>
        </w:docPartObj>
      </w:sdtPr>
      <w:sdtEndPr>
        <w:rPr>
          <w:bCs/>
          <w:noProof/>
        </w:rPr>
      </w:sdtEndPr>
      <w:sdtContent>
        <w:p w14:paraId="0E93E91F" w14:textId="77777777" w:rsidR="00DD5C3D" w:rsidRDefault="00DD5C3D">
          <w:pPr>
            <w:pStyle w:val="TOCHeading"/>
          </w:pPr>
          <w:r>
            <w:t>Table of Contents</w:t>
          </w:r>
        </w:p>
        <w:p w14:paraId="4706C8CB" w14:textId="6DA7A535" w:rsidR="00842114" w:rsidRDefault="00DD5C3D">
          <w:pPr>
            <w:pStyle w:val="TOC1"/>
            <w:tabs>
              <w:tab w:val="right" w:leader="dot" w:pos="9350"/>
            </w:tabs>
            <w:rPr>
              <w:rFonts w:asciiTheme="minorHAnsi" w:hAnsiTheme="minorHAnsi"/>
              <w:noProof/>
              <w:sz w:val="22"/>
              <w:szCs w:val="22"/>
            </w:rPr>
          </w:pPr>
          <w:r>
            <w:fldChar w:fldCharType="begin"/>
          </w:r>
          <w:r>
            <w:instrText xml:space="preserve"> TOC \o "1-3" \h \z \u </w:instrText>
          </w:r>
          <w:r>
            <w:fldChar w:fldCharType="separate"/>
          </w:r>
          <w:hyperlink w:anchor="_Toc15879110" w:history="1">
            <w:r w:rsidR="00842114" w:rsidRPr="00912761">
              <w:rPr>
                <w:rStyle w:val="Hyperlink"/>
                <w:noProof/>
              </w:rPr>
              <w:t>Module 3: Separating Files for Filing</w:t>
            </w:r>
            <w:r w:rsidR="00842114">
              <w:rPr>
                <w:noProof/>
                <w:webHidden/>
              </w:rPr>
              <w:tab/>
            </w:r>
            <w:r w:rsidR="00842114">
              <w:rPr>
                <w:noProof/>
                <w:webHidden/>
              </w:rPr>
              <w:fldChar w:fldCharType="begin"/>
            </w:r>
            <w:r w:rsidR="00842114">
              <w:rPr>
                <w:noProof/>
                <w:webHidden/>
              </w:rPr>
              <w:instrText xml:space="preserve"> PAGEREF _Toc15879110 \h </w:instrText>
            </w:r>
            <w:r w:rsidR="00842114">
              <w:rPr>
                <w:noProof/>
                <w:webHidden/>
              </w:rPr>
            </w:r>
            <w:r w:rsidR="00842114">
              <w:rPr>
                <w:noProof/>
                <w:webHidden/>
              </w:rPr>
              <w:fldChar w:fldCharType="separate"/>
            </w:r>
            <w:r w:rsidR="00842114">
              <w:rPr>
                <w:noProof/>
                <w:webHidden/>
              </w:rPr>
              <w:t>3</w:t>
            </w:r>
            <w:r w:rsidR="00842114">
              <w:rPr>
                <w:noProof/>
                <w:webHidden/>
              </w:rPr>
              <w:fldChar w:fldCharType="end"/>
            </w:r>
          </w:hyperlink>
        </w:p>
        <w:p w14:paraId="6A51FFB7" w14:textId="723FE242" w:rsidR="00842114" w:rsidRDefault="003B17BD">
          <w:pPr>
            <w:pStyle w:val="TOC2"/>
            <w:tabs>
              <w:tab w:val="right" w:leader="dot" w:pos="9350"/>
            </w:tabs>
            <w:rPr>
              <w:rFonts w:asciiTheme="minorHAnsi" w:hAnsiTheme="minorHAnsi"/>
              <w:noProof/>
              <w:sz w:val="22"/>
              <w:szCs w:val="22"/>
            </w:rPr>
          </w:pPr>
          <w:hyperlink w:anchor="_Toc15879111" w:history="1">
            <w:r w:rsidR="00842114" w:rsidRPr="00912761">
              <w:rPr>
                <w:rStyle w:val="Hyperlink"/>
                <w:noProof/>
              </w:rPr>
              <w:t>Module 3 Checklist</w:t>
            </w:r>
            <w:r w:rsidR="00842114">
              <w:rPr>
                <w:noProof/>
                <w:webHidden/>
              </w:rPr>
              <w:tab/>
            </w:r>
            <w:r w:rsidR="00842114">
              <w:rPr>
                <w:noProof/>
                <w:webHidden/>
              </w:rPr>
              <w:fldChar w:fldCharType="begin"/>
            </w:r>
            <w:r w:rsidR="00842114">
              <w:rPr>
                <w:noProof/>
                <w:webHidden/>
              </w:rPr>
              <w:instrText xml:space="preserve"> PAGEREF _Toc15879111 \h </w:instrText>
            </w:r>
            <w:r w:rsidR="00842114">
              <w:rPr>
                <w:noProof/>
                <w:webHidden/>
              </w:rPr>
            </w:r>
            <w:r w:rsidR="00842114">
              <w:rPr>
                <w:noProof/>
                <w:webHidden/>
              </w:rPr>
              <w:fldChar w:fldCharType="separate"/>
            </w:r>
            <w:r w:rsidR="00842114">
              <w:rPr>
                <w:noProof/>
                <w:webHidden/>
              </w:rPr>
              <w:t>3</w:t>
            </w:r>
            <w:r w:rsidR="00842114">
              <w:rPr>
                <w:noProof/>
                <w:webHidden/>
              </w:rPr>
              <w:fldChar w:fldCharType="end"/>
            </w:r>
          </w:hyperlink>
        </w:p>
        <w:p w14:paraId="66CC05DD" w14:textId="4BF1F24B" w:rsidR="00842114" w:rsidRDefault="003B17BD">
          <w:pPr>
            <w:pStyle w:val="TOC2"/>
            <w:tabs>
              <w:tab w:val="right" w:leader="dot" w:pos="9350"/>
            </w:tabs>
            <w:rPr>
              <w:rFonts w:asciiTheme="minorHAnsi" w:hAnsiTheme="minorHAnsi"/>
              <w:noProof/>
              <w:sz w:val="22"/>
              <w:szCs w:val="22"/>
            </w:rPr>
          </w:pPr>
          <w:hyperlink w:anchor="_Toc15879112" w:history="1">
            <w:r w:rsidR="00842114" w:rsidRPr="00912761">
              <w:rPr>
                <w:rStyle w:val="Hyperlink"/>
                <w:noProof/>
              </w:rPr>
              <w:t>Task Goal</w:t>
            </w:r>
            <w:r w:rsidR="00842114">
              <w:rPr>
                <w:noProof/>
                <w:webHidden/>
              </w:rPr>
              <w:tab/>
            </w:r>
            <w:r w:rsidR="00842114">
              <w:rPr>
                <w:noProof/>
                <w:webHidden/>
              </w:rPr>
              <w:fldChar w:fldCharType="begin"/>
            </w:r>
            <w:r w:rsidR="00842114">
              <w:rPr>
                <w:noProof/>
                <w:webHidden/>
              </w:rPr>
              <w:instrText xml:space="preserve"> PAGEREF _Toc15879112 \h </w:instrText>
            </w:r>
            <w:r w:rsidR="00842114">
              <w:rPr>
                <w:noProof/>
                <w:webHidden/>
              </w:rPr>
            </w:r>
            <w:r w:rsidR="00842114">
              <w:rPr>
                <w:noProof/>
                <w:webHidden/>
              </w:rPr>
              <w:fldChar w:fldCharType="separate"/>
            </w:r>
            <w:r w:rsidR="00842114">
              <w:rPr>
                <w:noProof/>
                <w:webHidden/>
              </w:rPr>
              <w:t>3</w:t>
            </w:r>
            <w:r w:rsidR="00842114">
              <w:rPr>
                <w:noProof/>
                <w:webHidden/>
              </w:rPr>
              <w:fldChar w:fldCharType="end"/>
            </w:r>
          </w:hyperlink>
        </w:p>
        <w:p w14:paraId="3C09EF30" w14:textId="51AD185E" w:rsidR="00842114" w:rsidRDefault="003B17BD">
          <w:pPr>
            <w:pStyle w:val="TOC3"/>
            <w:tabs>
              <w:tab w:val="right" w:leader="dot" w:pos="9350"/>
            </w:tabs>
            <w:rPr>
              <w:rFonts w:asciiTheme="minorHAnsi" w:hAnsiTheme="minorHAnsi"/>
              <w:noProof/>
              <w:sz w:val="22"/>
              <w:szCs w:val="22"/>
            </w:rPr>
          </w:pPr>
          <w:hyperlink w:anchor="_Toc15879113" w:history="1">
            <w:r w:rsidR="00842114" w:rsidRPr="00912761">
              <w:rPr>
                <w:rStyle w:val="Hyperlink"/>
                <w:noProof/>
              </w:rPr>
              <w:t>Task Objectives</w:t>
            </w:r>
            <w:r w:rsidR="00842114">
              <w:rPr>
                <w:noProof/>
                <w:webHidden/>
              </w:rPr>
              <w:tab/>
            </w:r>
            <w:r w:rsidR="00842114">
              <w:rPr>
                <w:noProof/>
                <w:webHidden/>
              </w:rPr>
              <w:fldChar w:fldCharType="begin"/>
            </w:r>
            <w:r w:rsidR="00842114">
              <w:rPr>
                <w:noProof/>
                <w:webHidden/>
              </w:rPr>
              <w:instrText xml:space="preserve"> PAGEREF _Toc15879113 \h </w:instrText>
            </w:r>
            <w:r w:rsidR="00842114">
              <w:rPr>
                <w:noProof/>
                <w:webHidden/>
              </w:rPr>
            </w:r>
            <w:r w:rsidR="00842114">
              <w:rPr>
                <w:noProof/>
                <w:webHidden/>
              </w:rPr>
              <w:fldChar w:fldCharType="separate"/>
            </w:r>
            <w:r w:rsidR="00842114">
              <w:rPr>
                <w:noProof/>
                <w:webHidden/>
              </w:rPr>
              <w:t>3</w:t>
            </w:r>
            <w:r w:rsidR="00842114">
              <w:rPr>
                <w:noProof/>
                <w:webHidden/>
              </w:rPr>
              <w:fldChar w:fldCharType="end"/>
            </w:r>
          </w:hyperlink>
        </w:p>
        <w:p w14:paraId="6429E099" w14:textId="5596C510" w:rsidR="00842114" w:rsidRDefault="003B17BD">
          <w:pPr>
            <w:pStyle w:val="TOC2"/>
            <w:tabs>
              <w:tab w:val="right" w:leader="dot" w:pos="9350"/>
            </w:tabs>
            <w:rPr>
              <w:rFonts w:asciiTheme="minorHAnsi" w:hAnsiTheme="minorHAnsi"/>
              <w:noProof/>
              <w:sz w:val="22"/>
              <w:szCs w:val="22"/>
            </w:rPr>
          </w:pPr>
          <w:hyperlink w:anchor="_Toc15879114" w:history="1">
            <w:r w:rsidR="00842114" w:rsidRPr="00912761">
              <w:rPr>
                <w:rStyle w:val="Hyperlink"/>
                <w:noProof/>
              </w:rPr>
              <w:t>General Categories of Files</w:t>
            </w:r>
            <w:r w:rsidR="00842114">
              <w:rPr>
                <w:noProof/>
                <w:webHidden/>
              </w:rPr>
              <w:tab/>
            </w:r>
            <w:r w:rsidR="00842114">
              <w:rPr>
                <w:noProof/>
                <w:webHidden/>
              </w:rPr>
              <w:fldChar w:fldCharType="begin"/>
            </w:r>
            <w:r w:rsidR="00842114">
              <w:rPr>
                <w:noProof/>
                <w:webHidden/>
              </w:rPr>
              <w:instrText xml:space="preserve"> PAGEREF _Toc15879114 \h </w:instrText>
            </w:r>
            <w:r w:rsidR="00842114">
              <w:rPr>
                <w:noProof/>
                <w:webHidden/>
              </w:rPr>
            </w:r>
            <w:r w:rsidR="00842114">
              <w:rPr>
                <w:noProof/>
                <w:webHidden/>
              </w:rPr>
              <w:fldChar w:fldCharType="separate"/>
            </w:r>
            <w:r w:rsidR="00842114">
              <w:rPr>
                <w:noProof/>
                <w:webHidden/>
              </w:rPr>
              <w:t>4</w:t>
            </w:r>
            <w:r w:rsidR="00842114">
              <w:rPr>
                <w:noProof/>
                <w:webHidden/>
              </w:rPr>
              <w:fldChar w:fldCharType="end"/>
            </w:r>
          </w:hyperlink>
        </w:p>
        <w:p w14:paraId="359A3775" w14:textId="430804FB" w:rsidR="00842114" w:rsidRDefault="003B17BD">
          <w:pPr>
            <w:pStyle w:val="TOC2"/>
            <w:tabs>
              <w:tab w:val="right" w:leader="dot" w:pos="9350"/>
            </w:tabs>
            <w:rPr>
              <w:rFonts w:asciiTheme="minorHAnsi" w:hAnsiTheme="minorHAnsi"/>
              <w:noProof/>
              <w:sz w:val="22"/>
              <w:szCs w:val="22"/>
            </w:rPr>
          </w:pPr>
          <w:hyperlink w:anchor="_Toc15879115" w:history="1">
            <w:r w:rsidR="00842114" w:rsidRPr="00912761">
              <w:rPr>
                <w:rStyle w:val="Hyperlink"/>
                <w:noProof/>
              </w:rPr>
              <w:t>Module 3 Notes</w:t>
            </w:r>
            <w:r w:rsidR="00842114">
              <w:rPr>
                <w:noProof/>
                <w:webHidden/>
              </w:rPr>
              <w:tab/>
            </w:r>
            <w:r w:rsidR="00842114">
              <w:rPr>
                <w:noProof/>
                <w:webHidden/>
              </w:rPr>
              <w:fldChar w:fldCharType="begin"/>
            </w:r>
            <w:r w:rsidR="00842114">
              <w:rPr>
                <w:noProof/>
                <w:webHidden/>
              </w:rPr>
              <w:instrText xml:space="preserve"> PAGEREF _Toc15879115 \h </w:instrText>
            </w:r>
            <w:r w:rsidR="00842114">
              <w:rPr>
                <w:noProof/>
                <w:webHidden/>
              </w:rPr>
            </w:r>
            <w:r w:rsidR="00842114">
              <w:rPr>
                <w:noProof/>
                <w:webHidden/>
              </w:rPr>
              <w:fldChar w:fldCharType="separate"/>
            </w:r>
            <w:r w:rsidR="00842114">
              <w:rPr>
                <w:noProof/>
                <w:webHidden/>
              </w:rPr>
              <w:t>4</w:t>
            </w:r>
            <w:r w:rsidR="00842114">
              <w:rPr>
                <w:noProof/>
                <w:webHidden/>
              </w:rPr>
              <w:fldChar w:fldCharType="end"/>
            </w:r>
          </w:hyperlink>
        </w:p>
        <w:p w14:paraId="784E503A" w14:textId="18F0052F" w:rsidR="00842114" w:rsidRDefault="003B17BD">
          <w:pPr>
            <w:pStyle w:val="TOC2"/>
            <w:tabs>
              <w:tab w:val="right" w:leader="dot" w:pos="9350"/>
            </w:tabs>
            <w:rPr>
              <w:rFonts w:asciiTheme="minorHAnsi" w:hAnsiTheme="minorHAnsi"/>
              <w:noProof/>
              <w:sz w:val="22"/>
              <w:szCs w:val="22"/>
            </w:rPr>
          </w:pPr>
          <w:hyperlink w:anchor="_Toc15879116" w:history="1">
            <w:r w:rsidR="00842114" w:rsidRPr="00912761">
              <w:rPr>
                <w:rStyle w:val="Hyperlink"/>
                <w:noProof/>
              </w:rPr>
              <w:t>Activity:  A Year in the Life of an Office</w:t>
            </w:r>
            <w:r w:rsidR="00842114">
              <w:rPr>
                <w:noProof/>
                <w:webHidden/>
              </w:rPr>
              <w:tab/>
            </w:r>
            <w:r w:rsidR="00842114">
              <w:rPr>
                <w:noProof/>
                <w:webHidden/>
              </w:rPr>
              <w:fldChar w:fldCharType="begin"/>
            </w:r>
            <w:r w:rsidR="00842114">
              <w:rPr>
                <w:noProof/>
                <w:webHidden/>
              </w:rPr>
              <w:instrText xml:space="preserve"> PAGEREF _Toc15879116 \h </w:instrText>
            </w:r>
            <w:r w:rsidR="00842114">
              <w:rPr>
                <w:noProof/>
                <w:webHidden/>
              </w:rPr>
            </w:r>
            <w:r w:rsidR="00842114">
              <w:rPr>
                <w:noProof/>
                <w:webHidden/>
              </w:rPr>
              <w:fldChar w:fldCharType="separate"/>
            </w:r>
            <w:r w:rsidR="00842114">
              <w:rPr>
                <w:noProof/>
                <w:webHidden/>
              </w:rPr>
              <w:t>5</w:t>
            </w:r>
            <w:r w:rsidR="00842114">
              <w:rPr>
                <w:noProof/>
                <w:webHidden/>
              </w:rPr>
              <w:fldChar w:fldCharType="end"/>
            </w:r>
          </w:hyperlink>
        </w:p>
        <w:p w14:paraId="6F68C145" w14:textId="34208A12" w:rsidR="00842114" w:rsidRDefault="003B17BD">
          <w:pPr>
            <w:pStyle w:val="TOC2"/>
            <w:tabs>
              <w:tab w:val="right" w:leader="dot" w:pos="9350"/>
            </w:tabs>
            <w:rPr>
              <w:rFonts w:asciiTheme="minorHAnsi" w:hAnsiTheme="minorHAnsi"/>
              <w:noProof/>
              <w:sz w:val="22"/>
              <w:szCs w:val="22"/>
            </w:rPr>
          </w:pPr>
          <w:hyperlink w:anchor="_Toc15879117" w:history="1">
            <w:r w:rsidR="00842114" w:rsidRPr="00912761">
              <w:rPr>
                <w:rStyle w:val="Hyperlink"/>
                <w:noProof/>
              </w:rPr>
              <w:t>Module 3 Notes – Separating Files by Series</w:t>
            </w:r>
            <w:r w:rsidR="00842114">
              <w:rPr>
                <w:noProof/>
                <w:webHidden/>
              </w:rPr>
              <w:tab/>
            </w:r>
            <w:r w:rsidR="00842114">
              <w:rPr>
                <w:noProof/>
                <w:webHidden/>
              </w:rPr>
              <w:fldChar w:fldCharType="begin"/>
            </w:r>
            <w:r w:rsidR="00842114">
              <w:rPr>
                <w:noProof/>
                <w:webHidden/>
              </w:rPr>
              <w:instrText xml:space="preserve"> PAGEREF _Toc15879117 \h </w:instrText>
            </w:r>
            <w:r w:rsidR="00842114">
              <w:rPr>
                <w:noProof/>
                <w:webHidden/>
              </w:rPr>
            </w:r>
            <w:r w:rsidR="00842114">
              <w:rPr>
                <w:noProof/>
                <w:webHidden/>
              </w:rPr>
              <w:fldChar w:fldCharType="separate"/>
            </w:r>
            <w:r w:rsidR="00842114">
              <w:rPr>
                <w:noProof/>
                <w:webHidden/>
              </w:rPr>
              <w:t>6</w:t>
            </w:r>
            <w:r w:rsidR="00842114">
              <w:rPr>
                <w:noProof/>
                <w:webHidden/>
              </w:rPr>
              <w:fldChar w:fldCharType="end"/>
            </w:r>
          </w:hyperlink>
        </w:p>
        <w:p w14:paraId="20CB6C2E" w14:textId="53DC0068" w:rsidR="00842114" w:rsidRDefault="003B17BD">
          <w:pPr>
            <w:pStyle w:val="TOC2"/>
            <w:tabs>
              <w:tab w:val="right" w:leader="dot" w:pos="9350"/>
            </w:tabs>
            <w:rPr>
              <w:rFonts w:asciiTheme="minorHAnsi" w:hAnsiTheme="minorHAnsi"/>
              <w:noProof/>
              <w:sz w:val="22"/>
              <w:szCs w:val="22"/>
            </w:rPr>
          </w:pPr>
          <w:hyperlink w:anchor="_Toc15879118" w:history="1">
            <w:r w:rsidR="00842114" w:rsidRPr="00912761">
              <w:rPr>
                <w:rStyle w:val="Hyperlink"/>
                <w:noProof/>
              </w:rPr>
              <w:t xml:space="preserve">Activity: </w:t>
            </w:r>
            <w:r w:rsidR="00842114" w:rsidRPr="00912761">
              <w:rPr>
                <w:rStyle w:val="Hyperlink"/>
                <w:i/>
                <w:iCs/>
                <w:noProof/>
              </w:rPr>
              <w:t>Separation Anxiety</w:t>
            </w:r>
            <w:r w:rsidR="00842114">
              <w:rPr>
                <w:noProof/>
                <w:webHidden/>
              </w:rPr>
              <w:tab/>
            </w:r>
            <w:r w:rsidR="00842114">
              <w:rPr>
                <w:noProof/>
                <w:webHidden/>
              </w:rPr>
              <w:fldChar w:fldCharType="begin"/>
            </w:r>
            <w:r w:rsidR="00842114">
              <w:rPr>
                <w:noProof/>
                <w:webHidden/>
              </w:rPr>
              <w:instrText xml:space="preserve"> PAGEREF _Toc15879118 \h </w:instrText>
            </w:r>
            <w:r w:rsidR="00842114">
              <w:rPr>
                <w:noProof/>
                <w:webHidden/>
              </w:rPr>
            </w:r>
            <w:r w:rsidR="00842114">
              <w:rPr>
                <w:noProof/>
                <w:webHidden/>
              </w:rPr>
              <w:fldChar w:fldCharType="separate"/>
            </w:r>
            <w:r w:rsidR="00842114">
              <w:rPr>
                <w:noProof/>
                <w:webHidden/>
              </w:rPr>
              <w:t>7</w:t>
            </w:r>
            <w:r w:rsidR="00842114">
              <w:rPr>
                <w:noProof/>
                <w:webHidden/>
              </w:rPr>
              <w:fldChar w:fldCharType="end"/>
            </w:r>
          </w:hyperlink>
        </w:p>
        <w:p w14:paraId="3701DAC8" w14:textId="7300F812" w:rsidR="00842114" w:rsidRDefault="003B17BD">
          <w:pPr>
            <w:pStyle w:val="TOC3"/>
            <w:tabs>
              <w:tab w:val="right" w:leader="dot" w:pos="9350"/>
            </w:tabs>
            <w:rPr>
              <w:rFonts w:asciiTheme="minorHAnsi" w:hAnsiTheme="minorHAnsi"/>
              <w:noProof/>
              <w:sz w:val="22"/>
              <w:szCs w:val="22"/>
            </w:rPr>
          </w:pPr>
          <w:hyperlink w:anchor="_Toc15879119" w:history="1">
            <w:r w:rsidR="00842114" w:rsidRPr="00912761">
              <w:rPr>
                <w:rStyle w:val="Hyperlink"/>
                <w:noProof/>
              </w:rPr>
              <w:t>File Plan Excerpt for Activity: Separation Anxiety</w:t>
            </w:r>
            <w:r w:rsidR="00842114">
              <w:rPr>
                <w:noProof/>
                <w:webHidden/>
              </w:rPr>
              <w:tab/>
            </w:r>
            <w:r w:rsidR="00842114">
              <w:rPr>
                <w:noProof/>
                <w:webHidden/>
              </w:rPr>
              <w:fldChar w:fldCharType="begin"/>
            </w:r>
            <w:r w:rsidR="00842114">
              <w:rPr>
                <w:noProof/>
                <w:webHidden/>
              </w:rPr>
              <w:instrText xml:space="preserve"> PAGEREF _Toc15879119 \h </w:instrText>
            </w:r>
            <w:r w:rsidR="00842114">
              <w:rPr>
                <w:noProof/>
                <w:webHidden/>
              </w:rPr>
            </w:r>
            <w:r w:rsidR="00842114">
              <w:rPr>
                <w:noProof/>
                <w:webHidden/>
              </w:rPr>
              <w:fldChar w:fldCharType="separate"/>
            </w:r>
            <w:r w:rsidR="00842114">
              <w:rPr>
                <w:noProof/>
                <w:webHidden/>
              </w:rPr>
              <w:t>9</w:t>
            </w:r>
            <w:r w:rsidR="00842114">
              <w:rPr>
                <w:noProof/>
                <w:webHidden/>
              </w:rPr>
              <w:fldChar w:fldCharType="end"/>
            </w:r>
          </w:hyperlink>
        </w:p>
        <w:p w14:paraId="5F4D61FF" w14:textId="306FAB2E" w:rsidR="00DD5C3D" w:rsidRDefault="00DD5C3D">
          <w:r>
            <w:rPr>
              <w:b/>
              <w:bCs/>
              <w:noProof/>
            </w:rPr>
            <w:fldChar w:fldCharType="end"/>
          </w:r>
        </w:p>
      </w:sdtContent>
    </w:sdt>
    <w:p w14:paraId="36B5539F" w14:textId="77777777" w:rsidR="00DD5C3D" w:rsidRDefault="00DD5C3D">
      <w:r>
        <w:br w:type="page"/>
      </w:r>
    </w:p>
    <w:p w14:paraId="6555C863" w14:textId="71A442BB" w:rsidR="0063222C" w:rsidRDefault="0063222C" w:rsidP="0063222C">
      <w:pPr>
        <w:pStyle w:val="Heading1"/>
      </w:pPr>
      <w:bookmarkStart w:id="0" w:name="_Toc507324146"/>
      <w:bookmarkStart w:id="1" w:name="_Toc15879110"/>
      <w:r>
        <w:lastRenderedPageBreak/>
        <w:t>Module 3: S</w:t>
      </w:r>
      <w:bookmarkEnd w:id="0"/>
      <w:r w:rsidR="00842114">
        <w:t>eparating Files for Filing</w:t>
      </w:r>
      <w:bookmarkEnd w:id="1"/>
    </w:p>
    <w:p w14:paraId="636453E2" w14:textId="77777777" w:rsidR="00FE707E" w:rsidRDefault="00FE707E" w:rsidP="00FE707E"/>
    <w:p w14:paraId="77E5D597" w14:textId="6C4C44D1" w:rsidR="00FE707E" w:rsidRDefault="00FE707E" w:rsidP="0029274A">
      <w:pPr>
        <w:pStyle w:val="Heading2"/>
      </w:pPr>
      <w:bookmarkStart w:id="2" w:name="_Toc15879111"/>
      <w:r>
        <w:t>Module 3 Checklist</w:t>
      </w:r>
      <w:bookmarkEnd w:id="2"/>
    </w:p>
    <w:p w14:paraId="04DDB696" w14:textId="64C214D0" w:rsidR="00FE707E" w:rsidRDefault="00FE707E" w:rsidP="00C919E4">
      <w:pPr>
        <w:pStyle w:val="ListParagraph"/>
        <w:numPr>
          <w:ilvl w:val="0"/>
          <w:numId w:val="43"/>
        </w:numPr>
      </w:pPr>
      <w:r>
        <w:t xml:space="preserve">Complete </w:t>
      </w:r>
      <w:r w:rsidR="00C919E4">
        <w:t>this module and its activities.</w:t>
      </w:r>
    </w:p>
    <w:p w14:paraId="58C7BC73" w14:textId="77777777" w:rsidR="00FE707E" w:rsidRDefault="00FE707E" w:rsidP="00FE707E"/>
    <w:p w14:paraId="26F55EB3" w14:textId="1AF303CF" w:rsidR="00625317" w:rsidRDefault="00625317" w:rsidP="0029274A">
      <w:pPr>
        <w:pStyle w:val="Heading2"/>
      </w:pPr>
      <w:bookmarkStart w:id="3" w:name="_Toc15879112"/>
      <w:r>
        <w:t>Task Goal</w:t>
      </w:r>
      <w:bookmarkEnd w:id="3"/>
    </w:p>
    <w:p w14:paraId="2E3EBF9C" w14:textId="798F58C4" w:rsidR="00625317" w:rsidRDefault="00625317" w:rsidP="00625317">
      <w:pPr>
        <w:pStyle w:val="ListParagraph"/>
        <w:ind w:left="360"/>
        <w:contextualSpacing w:val="0"/>
      </w:pPr>
      <w:r>
        <w:t xml:space="preserve">Given sets of records, you will be able to follow proper procedures </w:t>
      </w:r>
      <w:r w:rsidR="00842114">
        <w:t>to separate files in preparation for filing</w:t>
      </w:r>
      <w:r>
        <w:t>.</w:t>
      </w:r>
    </w:p>
    <w:p w14:paraId="3849A18F" w14:textId="77777777" w:rsidR="00625317" w:rsidRDefault="00625317" w:rsidP="0089370C">
      <w:pPr>
        <w:pStyle w:val="Heading3"/>
      </w:pPr>
      <w:bookmarkStart w:id="4" w:name="_Toc15879113"/>
      <w:r>
        <w:t>Task Objectives</w:t>
      </w:r>
      <w:bookmarkEnd w:id="4"/>
    </w:p>
    <w:p w14:paraId="7BC7B546" w14:textId="77777777" w:rsidR="00625317" w:rsidRDefault="00625317" w:rsidP="00502B88">
      <w:pPr>
        <w:pStyle w:val="ListParagraph"/>
        <w:numPr>
          <w:ilvl w:val="0"/>
          <w:numId w:val="37"/>
        </w:numPr>
        <w:contextualSpacing w:val="0"/>
      </w:pPr>
      <w:r>
        <w:t>Identify common reasons for folder creation</w:t>
      </w:r>
    </w:p>
    <w:p w14:paraId="378245D3" w14:textId="77777777" w:rsidR="00625317" w:rsidRDefault="00625317" w:rsidP="00502B88">
      <w:pPr>
        <w:pStyle w:val="ListParagraph"/>
        <w:numPr>
          <w:ilvl w:val="0"/>
          <w:numId w:val="37"/>
        </w:numPr>
        <w:contextualSpacing w:val="0"/>
      </w:pPr>
      <w:r>
        <w:t>Separate records appropriately for filing</w:t>
      </w:r>
    </w:p>
    <w:p w14:paraId="529DE971" w14:textId="77777777" w:rsidR="00625317" w:rsidRDefault="00625317" w:rsidP="00625317">
      <w:pPr>
        <w:pStyle w:val="ListParagraph"/>
        <w:ind w:left="360"/>
        <w:contextualSpacing w:val="0"/>
      </w:pPr>
    </w:p>
    <w:p w14:paraId="78069C37" w14:textId="77777777" w:rsidR="0029274A" w:rsidRDefault="0029274A">
      <w:pPr>
        <w:rPr>
          <w:b/>
          <w:spacing w:val="15"/>
        </w:rPr>
      </w:pPr>
      <w:r>
        <w:br w:type="page"/>
      </w:r>
    </w:p>
    <w:p w14:paraId="0F118220" w14:textId="44868770" w:rsidR="001715D0" w:rsidRDefault="00A24357" w:rsidP="00A24357">
      <w:pPr>
        <w:pStyle w:val="Heading2"/>
      </w:pPr>
      <w:bookmarkStart w:id="5" w:name="_Toc15879114"/>
      <w:r>
        <w:lastRenderedPageBreak/>
        <w:t>General Categories of Files</w:t>
      </w:r>
      <w:bookmarkEnd w:id="5"/>
    </w:p>
    <w:p w14:paraId="2DB9B295" w14:textId="77777777" w:rsidR="00A24357" w:rsidRDefault="00A24357" w:rsidP="00A24357">
      <w:pPr>
        <w:pStyle w:val="ListParagraph"/>
        <w:numPr>
          <w:ilvl w:val="0"/>
          <w:numId w:val="33"/>
        </w:numPr>
        <w:contextualSpacing w:val="0"/>
      </w:pPr>
      <w:r>
        <w:t>Case</w:t>
      </w:r>
    </w:p>
    <w:p w14:paraId="4804D75E" w14:textId="77777777" w:rsidR="00A24357" w:rsidRDefault="00A24357" w:rsidP="00A24357">
      <w:pPr>
        <w:pStyle w:val="ListParagraph"/>
        <w:numPr>
          <w:ilvl w:val="0"/>
          <w:numId w:val="33"/>
        </w:numPr>
        <w:contextualSpacing w:val="0"/>
      </w:pPr>
      <w:r>
        <w:t>Subject</w:t>
      </w:r>
    </w:p>
    <w:p w14:paraId="7CC717CC" w14:textId="77777777" w:rsidR="00A24357" w:rsidRDefault="00A24357" w:rsidP="00A24357">
      <w:pPr>
        <w:pStyle w:val="ListParagraph"/>
        <w:numPr>
          <w:ilvl w:val="0"/>
          <w:numId w:val="33"/>
        </w:numPr>
        <w:contextualSpacing w:val="0"/>
      </w:pPr>
      <w:r>
        <w:t>Transitory</w:t>
      </w:r>
    </w:p>
    <w:p w14:paraId="7CE8E777" w14:textId="77777777" w:rsidR="00A24357" w:rsidRDefault="00A24357" w:rsidP="00A24357">
      <w:pPr>
        <w:pStyle w:val="ListParagraph"/>
        <w:numPr>
          <w:ilvl w:val="0"/>
          <w:numId w:val="33"/>
        </w:numPr>
        <w:contextualSpacing w:val="0"/>
      </w:pPr>
      <w:r>
        <w:t>Technical Reference</w:t>
      </w:r>
    </w:p>
    <w:p w14:paraId="0E04B1E6" w14:textId="30A3E397" w:rsidR="00F00FD6" w:rsidRDefault="00F00FD6"/>
    <w:p w14:paraId="65298D29" w14:textId="77777777" w:rsidR="009C049F" w:rsidRDefault="009C049F" w:rsidP="009C049F">
      <w:pPr>
        <w:pStyle w:val="Heading2"/>
      </w:pPr>
      <w:bookmarkStart w:id="6" w:name="_Toc15879115"/>
      <w:r>
        <w:t>Module 3 Notes</w:t>
      </w:r>
      <w:bookmarkEnd w:id="6"/>
    </w:p>
    <w:p w14:paraId="0619381D" w14:textId="77777777" w:rsidR="009C049F" w:rsidRDefault="009C049F">
      <w:r>
        <w:br w:type="page"/>
      </w:r>
    </w:p>
    <w:p w14:paraId="108A5853" w14:textId="3A0C3E54" w:rsidR="00E230D1" w:rsidRDefault="00E230D1" w:rsidP="00E230D1">
      <w:pPr>
        <w:pStyle w:val="Heading2"/>
      </w:pPr>
      <w:bookmarkStart w:id="7" w:name="_Toc15879116"/>
      <w:r>
        <w:lastRenderedPageBreak/>
        <w:t>A</w:t>
      </w:r>
      <w:r w:rsidR="00C919E4">
        <w:t xml:space="preserve">ctivity:  A </w:t>
      </w:r>
      <w:r>
        <w:t>Year in the Life of an Office</w:t>
      </w:r>
      <w:bookmarkEnd w:id="7"/>
    </w:p>
    <w:p w14:paraId="5822765E" w14:textId="77777777" w:rsidR="00C919E4" w:rsidRDefault="00E230D1" w:rsidP="00E230D1">
      <w:r>
        <w:t xml:space="preserve">As you review the </w:t>
      </w:r>
      <w:r w:rsidRPr="00BC2526">
        <w:rPr>
          <w:rStyle w:val="QuoteChar"/>
        </w:rPr>
        <w:t xml:space="preserve">Types of </w:t>
      </w:r>
      <w:r w:rsidR="008C744F" w:rsidRPr="00BC2526">
        <w:rPr>
          <w:rStyle w:val="QuoteChar"/>
        </w:rPr>
        <w:t>f</w:t>
      </w:r>
      <w:r w:rsidRPr="00BC2526">
        <w:rPr>
          <w:rStyle w:val="QuoteChar"/>
        </w:rPr>
        <w:t xml:space="preserve">iles – A </w:t>
      </w:r>
      <w:r w:rsidR="008C744F" w:rsidRPr="00BC2526">
        <w:rPr>
          <w:rStyle w:val="QuoteChar"/>
        </w:rPr>
        <w:t>y</w:t>
      </w:r>
      <w:r w:rsidRPr="00BC2526">
        <w:rPr>
          <w:rStyle w:val="QuoteChar"/>
        </w:rPr>
        <w:t xml:space="preserve">ear in the </w:t>
      </w:r>
      <w:r w:rsidR="008C744F" w:rsidRPr="00BC2526">
        <w:rPr>
          <w:rStyle w:val="QuoteChar"/>
        </w:rPr>
        <w:t>l</w:t>
      </w:r>
      <w:r w:rsidRPr="00BC2526">
        <w:rPr>
          <w:rStyle w:val="QuoteChar"/>
        </w:rPr>
        <w:t xml:space="preserve">ife of an </w:t>
      </w:r>
      <w:r w:rsidR="008C744F" w:rsidRPr="00BC2526">
        <w:rPr>
          <w:rStyle w:val="QuoteChar"/>
        </w:rPr>
        <w:t>o</w:t>
      </w:r>
      <w:r w:rsidRPr="00BC2526">
        <w:rPr>
          <w:rStyle w:val="QuoteChar"/>
        </w:rPr>
        <w:t>ffice</w:t>
      </w:r>
      <w:r>
        <w:t xml:space="preserve"> lesson, note the events, dates, actions, and other factors that might cause Records Manager Terry Taylor and the team at the Playground Safety Testing Division to create new files and new folders.  </w:t>
      </w:r>
    </w:p>
    <w:p w14:paraId="23A4BD6F" w14:textId="77777777" w:rsidR="00C919E4" w:rsidRDefault="00E230D1" w:rsidP="00E230D1">
      <w:r>
        <w:t xml:space="preserve">What types of files should Terry anticipate?  </w:t>
      </w:r>
    </w:p>
    <w:p w14:paraId="266B2CF0" w14:textId="3D23DB66" w:rsidR="00E230D1" w:rsidRPr="00E230D1" w:rsidRDefault="00E230D1" w:rsidP="00E230D1">
      <w:r>
        <w:t>What events, dates, and other factors cause your office to create new files and folders?</w:t>
      </w:r>
    </w:p>
    <w:p w14:paraId="78A7C348" w14:textId="77777777" w:rsidR="00E230D1" w:rsidRDefault="00E230D1">
      <w:r>
        <w:br w:type="page"/>
      </w:r>
    </w:p>
    <w:p w14:paraId="56FBA807" w14:textId="4B26087A" w:rsidR="00BC2526" w:rsidRDefault="00D54AD6" w:rsidP="00D54AD6">
      <w:pPr>
        <w:pStyle w:val="Heading2"/>
      </w:pPr>
      <w:bookmarkStart w:id="8" w:name="_Toc15879117"/>
      <w:r>
        <w:lastRenderedPageBreak/>
        <w:t>Module 3</w:t>
      </w:r>
      <w:r w:rsidR="009C049F">
        <w:t xml:space="preserve"> Notes</w:t>
      </w:r>
      <w:r w:rsidR="00BC2526">
        <w:t xml:space="preserve"> – Separating Files</w:t>
      </w:r>
      <w:r w:rsidR="00375E6F">
        <w:t xml:space="preserve"> by Series</w:t>
      </w:r>
      <w:bookmarkEnd w:id="8"/>
    </w:p>
    <w:p w14:paraId="0F69EC96" w14:textId="77777777" w:rsidR="00BC2526" w:rsidRDefault="00BC2526" w:rsidP="00BC2526"/>
    <w:p w14:paraId="6DA5FA60" w14:textId="77777777" w:rsidR="00A24357" w:rsidRDefault="00A24357" w:rsidP="00BC2526">
      <w:r>
        <w:br w:type="page"/>
      </w:r>
    </w:p>
    <w:p w14:paraId="13832472" w14:textId="31A1F8C4" w:rsidR="00A24357" w:rsidRDefault="0063222C" w:rsidP="00A24357">
      <w:pPr>
        <w:pStyle w:val="Heading2"/>
      </w:pPr>
      <w:bookmarkStart w:id="9" w:name="_Toc15879118"/>
      <w:r>
        <w:lastRenderedPageBreak/>
        <w:t>A</w:t>
      </w:r>
      <w:r w:rsidR="00C919E4">
        <w:t>ctivity</w:t>
      </w:r>
      <w:r w:rsidR="00A24357">
        <w:t xml:space="preserve">: </w:t>
      </w:r>
      <w:r w:rsidR="00A24357" w:rsidRPr="002C37BB">
        <w:rPr>
          <w:rStyle w:val="QuoteChar"/>
        </w:rPr>
        <w:t>Separation Anxiety</w:t>
      </w:r>
      <w:bookmarkEnd w:id="9"/>
    </w:p>
    <w:p w14:paraId="2919EEB9" w14:textId="77777777" w:rsidR="00A24357" w:rsidRDefault="00AD3820" w:rsidP="00625317">
      <w:pPr>
        <w:pStyle w:val="ListParagraph"/>
        <w:ind w:left="360"/>
        <w:contextualSpacing w:val="0"/>
      </w:pPr>
      <w:r>
        <w:t>Listed below are fil</w:t>
      </w:r>
      <w:r w:rsidR="001D0082">
        <w:t>es that need to be separated</w:t>
      </w:r>
      <w:r w:rsidR="008234BD">
        <w:t xml:space="preserve"> and filed</w:t>
      </w:r>
      <w:r w:rsidR="001D0082">
        <w:t>.  Determine the type of file (subject, case, technical reference) and u</w:t>
      </w:r>
      <w:r>
        <w:t xml:space="preserve">se the </w:t>
      </w:r>
      <w:r w:rsidR="001D0082">
        <w:t>file plan to identify the file code, series title, and disposition authority number.</w:t>
      </w:r>
    </w:p>
    <w:tbl>
      <w:tblPr>
        <w:tblStyle w:val="TableGrid"/>
        <w:tblW w:w="8995" w:type="dxa"/>
        <w:tblInd w:w="360" w:type="dxa"/>
        <w:tblLook w:val="04A0" w:firstRow="1" w:lastRow="0" w:firstColumn="1" w:lastColumn="0" w:noHBand="0" w:noVBand="1"/>
        <w:tblCaption w:val="Worksheet for Group Activity: Separation Anxiety"/>
        <w:tblDescription w:val="Worksheet with five columns.  For each file description, determine the function or category (in other words, type of file - subject, case, technical reference), the file code and series title, the year, and the disposition authority number.  The files are described as: 1. An original, finalized document released on September 23, 2017, to give added guidance on the implementation of a new leave policy.  2. A letter received on January 30, 2017, from a member of the public requesting information regarding the 2016 operational schedules of agency fleet ships in the Gulf of Alaska.  3. Official correspondence between the National Marine Fisheries Service and Agency for Natural Resources Protection regarding Blue Fin Tuna habitat studies project done in areas designated as essential fish habitats.  The letters are dated between April and October of 2017."/>
      </w:tblPr>
      <w:tblGrid>
        <w:gridCol w:w="3018"/>
        <w:gridCol w:w="1747"/>
        <w:gridCol w:w="2970"/>
        <w:gridCol w:w="1260"/>
      </w:tblGrid>
      <w:tr w:rsidR="00E11D72" w14:paraId="3E94D78F" w14:textId="77777777" w:rsidTr="00E11D72">
        <w:trPr>
          <w:cantSplit/>
          <w:tblHeader/>
        </w:trPr>
        <w:tc>
          <w:tcPr>
            <w:tcW w:w="3018" w:type="dxa"/>
            <w:shd w:val="clear" w:color="auto" w:fill="E3F7FC" w:themeFill="background2" w:themeFillTint="33"/>
            <w:tcMar>
              <w:top w:w="115" w:type="dxa"/>
              <w:left w:w="115" w:type="dxa"/>
              <w:bottom w:w="115" w:type="dxa"/>
              <w:right w:w="115" w:type="dxa"/>
            </w:tcMar>
          </w:tcPr>
          <w:p w14:paraId="62E809B8" w14:textId="77777777" w:rsidR="00E11D72" w:rsidRPr="00225687" w:rsidRDefault="00E11D72" w:rsidP="00625317">
            <w:pPr>
              <w:pStyle w:val="ListParagraph"/>
              <w:ind w:left="0"/>
              <w:contextualSpacing w:val="0"/>
              <w:rPr>
                <w:rStyle w:val="Strong"/>
              </w:rPr>
            </w:pPr>
            <w:r w:rsidRPr="00225687">
              <w:rPr>
                <w:rStyle w:val="Strong"/>
              </w:rPr>
              <w:t>File Description</w:t>
            </w:r>
          </w:p>
        </w:tc>
        <w:tc>
          <w:tcPr>
            <w:tcW w:w="1747" w:type="dxa"/>
            <w:shd w:val="clear" w:color="auto" w:fill="E3F7FC" w:themeFill="background2" w:themeFillTint="33"/>
            <w:tcMar>
              <w:top w:w="115" w:type="dxa"/>
              <w:left w:w="115" w:type="dxa"/>
              <w:bottom w:w="115" w:type="dxa"/>
              <w:right w:w="115" w:type="dxa"/>
            </w:tcMar>
          </w:tcPr>
          <w:p w14:paraId="7AC9C1DD" w14:textId="77777777" w:rsidR="00E11D72" w:rsidRPr="00225687" w:rsidRDefault="00E11D72" w:rsidP="001D0082">
            <w:pPr>
              <w:pStyle w:val="ListParagraph"/>
              <w:ind w:left="0"/>
              <w:contextualSpacing w:val="0"/>
              <w:rPr>
                <w:rStyle w:val="Strong"/>
              </w:rPr>
            </w:pPr>
            <w:r>
              <w:rPr>
                <w:rStyle w:val="Strong"/>
              </w:rPr>
              <w:t>File Code</w:t>
            </w:r>
          </w:p>
        </w:tc>
        <w:tc>
          <w:tcPr>
            <w:tcW w:w="2970" w:type="dxa"/>
            <w:shd w:val="clear" w:color="auto" w:fill="E3F7FC" w:themeFill="background2" w:themeFillTint="33"/>
            <w:tcMar>
              <w:top w:w="115" w:type="dxa"/>
              <w:left w:w="115" w:type="dxa"/>
              <w:bottom w:w="115" w:type="dxa"/>
              <w:right w:w="115" w:type="dxa"/>
            </w:tcMar>
          </w:tcPr>
          <w:p w14:paraId="291F3C50" w14:textId="77777777" w:rsidR="00E11D72" w:rsidRPr="00225687" w:rsidRDefault="00E11D72" w:rsidP="00625317">
            <w:pPr>
              <w:pStyle w:val="ListParagraph"/>
              <w:ind w:left="0"/>
              <w:contextualSpacing w:val="0"/>
              <w:rPr>
                <w:rStyle w:val="Strong"/>
              </w:rPr>
            </w:pPr>
            <w:r w:rsidRPr="00225687">
              <w:rPr>
                <w:rStyle w:val="Strong"/>
              </w:rPr>
              <w:t>Series Title</w:t>
            </w:r>
          </w:p>
        </w:tc>
        <w:tc>
          <w:tcPr>
            <w:tcW w:w="1260" w:type="dxa"/>
            <w:shd w:val="clear" w:color="auto" w:fill="E3F7FC" w:themeFill="background2" w:themeFillTint="33"/>
            <w:tcMar>
              <w:top w:w="115" w:type="dxa"/>
              <w:left w:w="115" w:type="dxa"/>
              <w:bottom w:w="115" w:type="dxa"/>
              <w:right w:w="115" w:type="dxa"/>
            </w:tcMar>
          </w:tcPr>
          <w:p w14:paraId="2E599AD0" w14:textId="77777777" w:rsidR="00E11D72" w:rsidRPr="00225687" w:rsidRDefault="00E11D72" w:rsidP="00625317">
            <w:pPr>
              <w:pStyle w:val="ListParagraph"/>
              <w:ind w:left="0"/>
              <w:contextualSpacing w:val="0"/>
              <w:rPr>
                <w:rStyle w:val="Strong"/>
              </w:rPr>
            </w:pPr>
            <w:r w:rsidRPr="00225687">
              <w:rPr>
                <w:rStyle w:val="Strong"/>
              </w:rPr>
              <w:t>Year</w:t>
            </w:r>
          </w:p>
        </w:tc>
      </w:tr>
      <w:tr w:rsidR="00E11D72" w14:paraId="50346FFE" w14:textId="77777777" w:rsidTr="00E11D72">
        <w:trPr>
          <w:cantSplit/>
        </w:trPr>
        <w:tc>
          <w:tcPr>
            <w:tcW w:w="3018" w:type="dxa"/>
            <w:tcMar>
              <w:top w:w="115" w:type="dxa"/>
              <w:left w:w="115" w:type="dxa"/>
              <w:bottom w:w="115" w:type="dxa"/>
              <w:right w:w="115" w:type="dxa"/>
            </w:tcMar>
          </w:tcPr>
          <w:p w14:paraId="6F1E530D" w14:textId="77777777" w:rsidR="00E11D72" w:rsidRDefault="00E11D72" w:rsidP="00625317">
            <w:pPr>
              <w:pStyle w:val="ListParagraph"/>
              <w:ind w:left="0"/>
              <w:contextualSpacing w:val="0"/>
            </w:pPr>
            <w:r w:rsidRPr="001D0082">
              <w:t xml:space="preserve">An original, finalized document released on September 23, 2017, to give added guidance on the implementation on </w:t>
            </w:r>
            <w:r>
              <w:t xml:space="preserve">a </w:t>
            </w:r>
            <w:r w:rsidRPr="001D0082">
              <w:t>new leave policy.</w:t>
            </w:r>
          </w:p>
        </w:tc>
        <w:tc>
          <w:tcPr>
            <w:tcW w:w="1747" w:type="dxa"/>
            <w:tcMar>
              <w:top w:w="115" w:type="dxa"/>
              <w:left w:w="115" w:type="dxa"/>
              <w:bottom w:w="115" w:type="dxa"/>
              <w:right w:w="115" w:type="dxa"/>
            </w:tcMar>
          </w:tcPr>
          <w:p w14:paraId="79650C36" w14:textId="76C1F2C8" w:rsidR="00E11D72" w:rsidRPr="00C919E4" w:rsidRDefault="00E11D72" w:rsidP="00625317">
            <w:pPr>
              <w:pStyle w:val="ListParagraph"/>
              <w:ind w:left="0"/>
              <w:contextualSpacing w:val="0"/>
              <w:rPr>
                <w:iCs/>
              </w:rPr>
            </w:pPr>
          </w:p>
        </w:tc>
        <w:tc>
          <w:tcPr>
            <w:tcW w:w="2970" w:type="dxa"/>
            <w:tcMar>
              <w:top w:w="115" w:type="dxa"/>
              <w:left w:w="115" w:type="dxa"/>
              <w:bottom w:w="115" w:type="dxa"/>
              <w:right w:w="115" w:type="dxa"/>
            </w:tcMar>
          </w:tcPr>
          <w:p w14:paraId="34926270" w14:textId="5058B91A" w:rsidR="00E11D72" w:rsidRPr="00C919E4" w:rsidRDefault="00E11D72" w:rsidP="00625317">
            <w:pPr>
              <w:pStyle w:val="ListParagraph"/>
              <w:ind w:left="0"/>
              <w:contextualSpacing w:val="0"/>
              <w:rPr>
                <w:iCs/>
              </w:rPr>
            </w:pPr>
          </w:p>
        </w:tc>
        <w:tc>
          <w:tcPr>
            <w:tcW w:w="1260" w:type="dxa"/>
            <w:tcMar>
              <w:top w:w="115" w:type="dxa"/>
              <w:left w:w="115" w:type="dxa"/>
              <w:bottom w:w="115" w:type="dxa"/>
              <w:right w:w="115" w:type="dxa"/>
            </w:tcMar>
          </w:tcPr>
          <w:p w14:paraId="6ED72F09" w14:textId="2DD14534" w:rsidR="00E11D72" w:rsidRPr="00C919E4" w:rsidRDefault="00E11D72" w:rsidP="00625317">
            <w:pPr>
              <w:pStyle w:val="ListParagraph"/>
              <w:ind w:left="0"/>
              <w:contextualSpacing w:val="0"/>
              <w:rPr>
                <w:iCs/>
              </w:rPr>
            </w:pPr>
          </w:p>
        </w:tc>
      </w:tr>
      <w:tr w:rsidR="00E11D72" w14:paraId="68D3345D" w14:textId="77777777" w:rsidTr="00E11D72">
        <w:trPr>
          <w:cantSplit/>
        </w:trPr>
        <w:tc>
          <w:tcPr>
            <w:tcW w:w="3018" w:type="dxa"/>
            <w:tcMar>
              <w:top w:w="115" w:type="dxa"/>
              <w:left w:w="115" w:type="dxa"/>
              <w:bottom w:w="115" w:type="dxa"/>
              <w:right w:w="115" w:type="dxa"/>
            </w:tcMar>
          </w:tcPr>
          <w:p w14:paraId="06B949B4" w14:textId="77777777" w:rsidR="00E11D72" w:rsidRDefault="00E11D72" w:rsidP="00625317">
            <w:pPr>
              <w:pStyle w:val="ListParagraph"/>
              <w:ind w:left="0"/>
              <w:contextualSpacing w:val="0"/>
            </w:pPr>
            <w:r w:rsidRPr="001D0082">
              <w:t>Letter received on January 30, 2016, from a member of the public requesting information regarding the 2016 operational schedules of agency fleet ships in the Gulf of Alaska.</w:t>
            </w:r>
          </w:p>
        </w:tc>
        <w:tc>
          <w:tcPr>
            <w:tcW w:w="1747" w:type="dxa"/>
            <w:tcMar>
              <w:top w:w="115" w:type="dxa"/>
              <w:left w:w="115" w:type="dxa"/>
              <w:bottom w:w="115" w:type="dxa"/>
              <w:right w:w="115" w:type="dxa"/>
            </w:tcMar>
          </w:tcPr>
          <w:p w14:paraId="0D4D3D7C" w14:textId="77777777" w:rsidR="00E11D72" w:rsidRDefault="00E11D72" w:rsidP="00625317">
            <w:pPr>
              <w:pStyle w:val="ListParagraph"/>
              <w:ind w:left="0"/>
              <w:contextualSpacing w:val="0"/>
            </w:pPr>
          </w:p>
        </w:tc>
        <w:tc>
          <w:tcPr>
            <w:tcW w:w="2970" w:type="dxa"/>
            <w:tcMar>
              <w:top w:w="115" w:type="dxa"/>
              <w:left w:w="115" w:type="dxa"/>
              <w:bottom w:w="115" w:type="dxa"/>
              <w:right w:w="115" w:type="dxa"/>
            </w:tcMar>
          </w:tcPr>
          <w:p w14:paraId="673C6F46" w14:textId="77777777" w:rsidR="00E11D72" w:rsidRDefault="00E11D72" w:rsidP="00625317">
            <w:pPr>
              <w:pStyle w:val="ListParagraph"/>
              <w:ind w:left="0"/>
              <w:contextualSpacing w:val="0"/>
            </w:pPr>
          </w:p>
        </w:tc>
        <w:tc>
          <w:tcPr>
            <w:tcW w:w="1260" w:type="dxa"/>
            <w:tcMar>
              <w:top w:w="115" w:type="dxa"/>
              <w:left w:w="115" w:type="dxa"/>
              <w:bottom w:w="115" w:type="dxa"/>
              <w:right w:w="115" w:type="dxa"/>
            </w:tcMar>
          </w:tcPr>
          <w:p w14:paraId="1485B73C" w14:textId="77777777" w:rsidR="00E11D72" w:rsidRDefault="00E11D72" w:rsidP="00625317">
            <w:pPr>
              <w:pStyle w:val="ListParagraph"/>
              <w:ind w:left="0"/>
              <w:contextualSpacing w:val="0"/>
            </w:pPr>
          </w:p>
        </w:tc>
      </w:tr>
      <w:tr w:rsidR="00E11D72" w14:paraId="661793B4" w14:textId="77777777" w:rsidTr="00E11D72">
        <w:trPr>
          <w:cantSplit/>
        </w:trPr>
        <w:tc>
          <w:tcPr>
            <w:tcW w:w="3018" w:type="dxa"/>
            <w:tcMar>
              <w:top w:w="115" w:type="dxa"/>
              <w:left w:w="115" w:type="dxa"/>
              <w:bottom w:w="115" w:type="dxa"/>
              <w:right w:w="115" w:type="dxa"/>
            </w:tcMar>
          </w:tcPr>
          <w:p w14:paraId="098CBD23" w14:textId="77777777" w:rsidR="00E11D72" w:rsidRDefault="00E11D72" w:rsidP="00120096">
            <w:pPr>
              <w:pStyle w:val="ListParagraph"/>
              <w:ind w:left="0"/>
              <w:contextualSpacing w:val="0"/>
            </w:pPr>
            <w:r w:rsidRPr="001D0082">
              <w:t xml:space="preserve">Official correspondence between the National Marine Fisheries Service and Agency for Natural Resources Protection regarding Blue Fin Tuna habitat studies project done in areas designated as essential fish habitat.  The letters are dated between April and </w:t>
            </w:r>
            <w:r>
              <w:t>September</w:t>
            </w:r>
            <w:r w:rsidRPr="001D0082">
              <w:t xml:space="preserve"> of 2017.</w:t>
            </w:r>
          </w:p>
        </w:tc>
        <w:tc>
          <w:tcPr>
            <w:tcW w:w="1747" w:type="dxa"/>
            <w:tcMar>
              <w:top w:w="115" w:type="dxa"/>
              <w:left w:w="115" w:type="dxa"/>
              <w:bottom w:w="115" w:type="dxa"/>
              <w:right w:w="115" w:type="dxa"/>
            </w:tcMar>
          </w:tcPr>
          <w:p w14:paraId="7740AA06" w14:textId="77777777" w:rsidR="00E11D72" w:rsidRDefault="00E11D72" w:rsidP="00625317">
            <w:pPr>
              <w:pStyle w:val="ListParagraph"/>
              <w:ind w:left="0"/>
              <w:contextualSpacing w:val="0"/>
            </w:pPr>
          </w:p>
        </w:tc>
        <w:tc>
          <w:tcPr>
            <w:tcW w:w="2970" w:type="dxa"/>
            <w:tcMar>
              <w:top w:w="115" w:type="dxa"/>
              <w:left w:w="115" w:type="dxa"/>
              <w:bottom w:w="115" w:type="dxa"/>
              <w:right w:w="115" w:type="dxa"/>
            </w:tcMar>
          </w:tcPr>
          <w:p w14:paraId="06C79EDF" w14:textId="77777777" w:rsidR="00E11D72" w:rsidRDefault="00E11D72" w:rsidP="00625317">
            <w:pPr>
              <w:pStyle w:val="ListParagraph"/>
              <w:ind w:left="0"/>
              <w:contextualSpacing w:val="0"/>
            </w:pPr>
          </w:p>
        </w:tc>
        <w:tc>
          <w:tcPr>
            <w:tcW w:w="1260" w:type="dxa"/>
            <w:tcMar>
              <w:top w:w="115" w:type="dxa"/>
              <w:left w:w="115" w:type="dxa"/>
              <w:bottom w:w="115" w:type="dxa"/>
              <w:right w:w="115" w:type="dxa"/>
            </w:tcMar>
          </w:tcPr>
          <w:p w14:paraId="332679B3" w14:textId="77777777" w:rsidR="00E11D72" w:rsidRDefault="00E11D72" w:rsidP="00625317">
            <w:pPr>
              <w:pStyle w:val="ListParagraph"/>
              <w:ind w:left="0"/>
              <w:contextualSpacing w:val="0"/>
            </w:pPr>
          </w:p>
        </w:tc>
      </w:tr>
      <w:tr w:rsidR="00E11D72" w14:paraId="2B807236" w14:textId="77777777" w:rsidTr="00E11D72">
        <w:trPr>
          <w:cantSplit/>
        </w:trPr>
        <w:tc>
          <w:tcPr>
            <w:tcW w:w="3018" w:type="dxa"/>
            <w:tcMar>
              <w:top w:w="115" w:type="dxa"/>
              <w:left w:w="115" w:type="dxa"/>
              <w:bottom w:w="115" w:type="dxa"/>
              <w:right w:w="115" w:type="dxa"/>
            </w:tcMar>
          </w:tcPr>
          <w:p w14:paraId="318A4BC4" w14:textId="77777777" w:rsidR="00E11D72" w:rsidRDefault="00E11D72" w:rsidP="00625317">
            <w:pPr>
              <w:pStyle w:val="ListParagraph"/>
              <w:ind w:left="0"/>
              <w:contextualSpacing w:val="0"/>
            </w:pPr>
            <w:r w:rsidRPr="00225687">
              <w:t xml:space="preserve">CPR training completion certificate dated April 22, 2017, for diver Barry </w:t>
            </w:r>
            <w:proofErr w:type="spellStart"/>
            <w:r w:rsidRPr="00225687">
              <w:t>Cuda</w:t>
            </w:r>
            <w:proofErr w:type="spellEnd"/>
            <w:r w:rsidRPr="00225687">
              <w:t>.</w:t>
            </w:r>
          </w:p>
        </w:tc>
        <w:tc>
          <w:tcPr>
            <w:tcW w:w="1747" w:type="dxa"/>
            <w:tcMar>
              <w:top w:w="115" w:type="dxa"/>
              <w:left w:w="115" w:type="dxa"/>
              <w:bottom w:w="115" w:type="dxa"/>
              <w:right w:w="115" w:type="dxa"/>
            </w:tcMar>
          </w:tcPr>
          <w:p w14:paraId="21895CD8" w14:textId="77777777" w:rsidR="00E11D72" w:rsidRDefault="00E11D72" w:rsidP="00625317">
            <w:pPr>
              <w:pStyle w:val="ListParagraph"/>
              <w:ind w:left="0"/>
              <w:contextualSpacing w:val="0"/>
            </w:pPr>
          </w:p>
        </w:tc>
        <w:tc>
          <w:tcPr>
            <w:tcW w:w="2970" w:type="dxa"/>
            <w:tcMar>
              <w:top w:w="115" w:type="dxa"/>
              <w:left w:w="115" w:type="dxa"/>
              <w:bottom w:w="115" w:type="dxa"/>
              <w:right w:w="115" w:type="dxa"/>
            </w:tcMar>
          </w:tcPr>
          <w:p w14:paraId="2DBB9E9D" w14:textId="77777777" w:rsidR="00E11D72" w:rsidRDefault="00E11D72" w:rsidP="00625317">
            <w:pPr>
              <w:pStyle w:val="ListParagraph"/>
              <w:ind w:left="0"/>
              <w:contextualSpacing w:val="0"/>
            </w:pPr>
          </w:p>
        </w:tc>
        <w:tc>
          <w:tcPr>
            <w:tcW w:w="1260" w:type="dxa"/>
            <w:tcMar>
              <w:top w:w="115" w:type="dxa"/>
              <w:left w:w="115" w:type="dxa"/>
              <w:bottom w:w="115" w:type="dxa"/>
              <w:right w:w="115" w:type="dxa"/>
            </w:tcMar>
          </w:tcPr>
          <w:p w14:paraId="11C0C634" w14:textId="77777777" w:rsidR="00E11D72" w:rsidRDefault="00E11D72" w:rsidP="00625317">
            <w:pPr>
              <w:pStyle w:val="ListParagraph"/>
              <w:ind w:left="0"/>
              <w:contextualSpacing w:val="0"/>
            </w:pPr>
          </w:p>
        </w:tc>
      </w:tr>
      <w:tr w:rsidR="00E11D72" w14:paraId="76281C9E" w14:textId="77777777" w:rsidTr="00E11D72">
        <w:trPr>
          <w:cantSplit/>
        </w:trPr>
        <w:tc>
          <w:tcPr>
            <w:tcW w:w="3018" w:type="dxa"/>
            <w:tcMar>
              <w:top w:w="115" w:type="dxa"/>
              <w:left w:w="115" w:type="dxa"/>
              <w:bottom w:w="115" w:type="dxa"/>
              <w:right w:w="115" w:type="dxa"/>
            </w:tcMar>
          </w:tcPr>
          <w:p w14:paraId="79AA59BB" w14:textId="77777777" w:rsidR="00E11D72" w:rsidRDefault="00E11D72" w:rsidP="00625317">
            <w:pPr>
              <w:pStyle w:val="ListParagraph"/>
              <w:ind w:left="0"/>
              <w:contextualSpacing w:val="0"/>
            </w:pPr>
            <w:r w:rsidRPr="00225687">
              <w:lastRenderedPageBreak/>
              <w:t>Thunder Bay National Marine Sanctuary Boundary Expansion Project Final Environmental Impact Statement dated August 4, 2017</w:t>
            </w:r>
            <w:r>
              <w:t>.</w:t>
            </w:r>
          </w:p>
        </w:tc>
        <w:tc>
          <w:tcPr>
            <w:tcW w:w="1747" w:type="dxa"/>
            <w:tcMar>
              <w:top w:w="115" w:type="dxa"/>
              <w:left w:w="115" w:type="dxa"/>
              <w:bottom w:w="115" w:type="dxa"/>
              <w:right w:w="115" w:type="dxa"/>
            </w:tcMar>
          </w:tcPr>
          <w:p w14:paraId="17414C27" w14:textId="77777777" w:rsidR="00E11D72" w:rsidRDefault="00E11D72" w:rsidP="00625317">
            <w:pPr>
              <w:pStyle w:val="ListParagraph"/>
              <w:ind w:left="0"/>
              <w:contextualSpacing w:val="0"/>
            </w:pPr>
          </w:p>
        </w:tc>
        <w:tc>
          <w:tcPr>
            <w:tcW w:w="2970" w:type="dxa"/>
            <w:tcMar>
              <w:top w:w="115" w:type="dxa"/>
              <w:left w:w="115" w:type="dxa"/>
              <w:bottom w:w="115" w:type="dxa"/>
              <w:right w:w="115" w:type="dxa"/>
            </w:tcMar>
          </w:tcPr>
          <w:p w14:paraId="3F133954" w14:textId="77777777" w:rsidR="00E11D72" w:rsidRDefault="00E11D72" w:rsidP="00625317">
            <w:pPr>
              <w:pStyle w:val="ListParagraph"/>
              <w:ind w:left="0"/>
              <w:contextualSpacing w:val="0"/>
            </w:pPr>
          </w:p>
        </w:tc>
        <w:tc>
          <w:tcPr>
            <w:tcW w:w="1260" w:type="dxa"/>
            <w:tcMar>
              <w:top w:w="115" w:type="dxa"/>
              <w:left w:w="115" w:type="dxa"/>
              <w:bottom w:w="115" w:type="dxa"/>
              <w:right w:w="115" w:type="dxa"/>
            </w:tcMar>
          </w:tcPr>
          <w:p w14:paraId="5F8B1817" w14:textId="77777777" w:rsidR="00E11D72" w:rsidRDefault="00E11D72" w:rsidP="00625317">
            <w:pPr>
              <w:pStyle w:val="ListParagraph"/>
              <w:ind w:left="0"/>
              <w:contextualSpacing w:val="0"/>
            </w:pPr>
          </w:p>
        </w:tc>
      </w:tr>
      <w:tr w:rsidR="00E11D72" w14:paraId="4FF82CAF" w14:textId="77777777" w:rsidTr="00E11D72">
        <w:trPr>
          <w:cantSplit/>
        </w:trPr>
        <w:tc>
          <w:tcPr>
            <w:tcW w:w="3018" w:type="dxa"/>
            <w:tcMar>
              <w:top w:w="115" w:type="dxa"/>
              <w:left w:w="115" w:type="dxa"/>
              <w:bottom w:w="115" w:type="dxa"/>
              <w:right w:w="115" w:type="dxa"/>
            </w:tcMar>
          </w:tcPr>
          <w:p w14:paraId="7BDED9AC" w14:textId="3BB748E3" w:rsidR="00E11D72" w:rsidRDefault="00E11D72" w:rsidP="00625317">
            <w:pPr>
              <w:pStyle w:val="ListParagraph"/>
              <w:ind w:left="0"/>
              <w:contextualSpacing w:val="0"/>
            </w:pPr>
            <w:r w:rsidRPr="00225687">
              <w:t>Office of Audits reports pertaining to the Marine Education Grants Program</w:t>
            </w:r>
            <w:r w:rsidR="00C919E4">
              <w:t>.  Includes t</w:t>
            </w:r>
            <w:r w:rsidRPr="00225687">
              <w:t>wo draft reports with extensive comments from FY2016 and the final audit report date January 10, 2017.</w:t>
            </w:r>
          </w:p>
        </w:tc>
        <w:tc>
          <w:tcPr>
            <w:tcW w:w="1747" w:type="dxa"/>
            <w:tcMar>
              <w:top w:w="115" w:type="dxa"/>
              <w:left w:w="115" w:type="dxa"/>
              <w:bottom w:w="115" w:type="dxa"/>
              <w:right w:w="115" w:type="dxa"/>
            </w:tcMar>
          </w:tcPr>
          <w:p w14:paraId="2F519A7D" w14:textId="77777777" w:rsidR="00E11D72" w:rsidRDefault="00E11D72" w:rsidP="00625317">
            <w:pPr>
              <w:pStyle w:val="ListParagraph"/>
              <w:ind w:left="0"/>
              <w:contextualSpacing w:val="0"/>
            </w:pPr>
          </w:p>
        </w:tc>
        <w:tc>
          <w:tcPr>
            <w:tcW w:w="2970" w:type="dxa"/>
            <w:tcMar>
              <w:top w:w="115" w:type="dxa"/>
              <w:left w:w="115" w:type="dxa"/>
              <w:bottom w:w="115" w:type="dxa"/>
              <w:right w:w="115" w:type="dxa"/>
            </w:tcMar>
          </w:tcPr>
          <w:p w14:paraId="68A082C0" w14:textId="77777777" w:rsidR="00E11D72" w:rsidRDefault="00E11D72" w:rsidP="00625317">
            <w:pPr>
              <w:pStyle w:val="ListParagraph"/>
              <w:ind w:left="0"/>
              <w:contextualSpacing w:val="0"/>
            </w:pPr>
          </w:p>
        </w:tc>
        <w:tc>
          <w:tcPr>
            <w:tcW w:w="1260" w:type="dxa"/>
            <w:tcMar>
              <w:top w:w="115" w:type="dxa"/>
              <w:left w:w="115" w:type="dxa"/>
              <w:bottom w:w="115" w:type="dxa"/>
              <w:right w:w="115" w:type="dxa"/>
            </w:tcMar>
          </w:tcPr>
          <w:p w14:paraId="70C4FBAE" w14:textId="77777777" w:rsidR="00E11D72" w:rsidRDefault="00E11D72" w:rsidP="00625317">
            <w:pPr>
              <w:pStyle w:val="ListParagraph"/>
              <w:ind w:left="0"/>
              <w:contextualSpacing w:val="0"/>
            </w:pPr>
          </w:p>
        </w:tc>
      </w:tr>
    </w:tbl>
    <w:p w14:paraId="7ED713C1" w14:textId="77777777" w:rsidR="00D5175F" w:rsidRDefault="00D5175F" w:rsidP="00625317">
      <w:pPr>
        <w:pStyle w:val="ListParagraph"/>
        <w:ind w:left="360"/>
        <w:contextualSpacing w:val="0"/>
      </w:pPr>
    </w:p>
    <w:p w14:paraId="1C1DDFAE" w14:textId="77777777" w:rsidR="00D5175F" w:rsidRDefault="00D5175F" w:rsidP="00D5175F">
      <w:r>
        <w:br w:type="page"/>
      </w:r>
    </w:p>
    <w:p w14:paraId="411AE6C2" w14:textId="3876B114" w:rsidR="001D0082" w:rsidRDefault="00D5175F" w:rsidP="00CB46B4">
      <w:pPr>
        <w:pStyle w:val="Heading3"/>
      </w:pPr>
      <w:bookmarkStart w:id="10" w:name="_Toc15879119"/>
      <w:r>
        <w:lastRenderedPageBreak/>
        <w:t>File Plan</w:t>
      </w:r>
      <w:r w:rsidR="00CB46B4">
        <w:t xml:space="preserve"> Excerpt for </w:t>
      </w:r>
      <w:r w:rsidR="0063222C">
        <w:t>A</w:t>
      </w:r>
      <w:r w:rsidR="00C919E4">
        <w:t>ctivity</w:t>
      </w:r>
      <w:r w:rsidR="00CB46B4">
        <w:t>: Separation Anxiety</w:t>
      </w:r>
      <w:bookmarkEnd w:id="10"/>
    </w:p>
    <w:tbl>
      <w:tblPr>
        <w:tblStyle w:val="TableGrid"/>
        <w:tblW w:w="9450" w:type="dxa"/>
        <w:tblInd w:w="-5" w:type="dxa"/>
        <w:tblLook w:val="04A0" w:firstRow="1" w:lastRow="0" w:firstColumn="1" w:lastColumn="0" w:noHBand="0" w:noVBand="1"/>
        <w:tblCaption w:val="File Plan Excerpt for Group Activity: Separation Anxiety"/>
        <w:tblDescription w:val="Records listed are:  File number 200-02a(1), Audit Case Files.  Case files of internal and external audits of agency programs, operations, and procedures, including contractors and grantees.  Files contain audit reports, correspondence, memoranda, and supporting working papers.  The audit case files are temporary, cut off at the end of the fiscal year in which the case is closed. Destroy 8 years after cutoff.  Disposition authority number DAA-0370-2015-0006.  The audit files are kept in Central Files, Office of Audits, Room 1111.  Next type of records:  File number 1201-01(d), Common Mission Guidance Files. These are the record copy of guidance given to operating offices on policies or procedures.  The files are permanent, cut off at the end of the calendar year when created.  Transfer to NARA 10 years after cutoff.  Disposition authority NC1-370-79-03.  The mission guidance files are stored in Central Files, Human Resources, Room 2345.  Next type, File plan number 1503-16a, Essential Fish Habitat Consultation Files.  Correspondence between the agency and Federal agencies, state agencies, and councils concerning measures to minimize the adverse effects of actions on essential fish habitats.  Disposition for the essential fish habitat files is permanent.  Cut off annually, retire to Federal Records Center when 5 years old.  Transfer to NARA with related indexes when 25 years old.  Disposition authority number is N1-370-01-004.  The files are kept in Central Files, Ichthyology, Room 818. Next item is file number 1609-04A, Environmental Impact Statements and Environmental Assessments, Final Reports. Documents that record the effort to protect the environment in carrying out Federal programs. Statements include a description of the proposed project and existing environment of the project and an examination of the alternative courses of action.  Disposition is Permanent, Cut off at the end of the calendar year in which the project is completed.  Transfer to NARA 25 years after the calendar year in which the file was cut off.  Disposition authority number is N1-370-02-003, and the files are in the Central Files area of roomm 1274. Next item is file number 1805-11, Diver Case Files.  Case file established for each individual diver.  Contains training records, certifications, medical records, and CPR, First Aid, and individual dive logs.  Disposition is Temporary. Cut off when diver becomes inactive, then transfer to FRC.  Destroy 75 years after cutoff. Disposition authority is N1-370-09-001. Next item is number 1901-13, Information Request Files, which are Requests for data and related information.  Includes requests, correspondence, and related documents. Cut off at end of calendar year when created.  Destroy 2 years after cutoff. Disposition authority is NC1-370-83-01. Files are kept in Central Files, Room 1274. Last item is a non-record.  Field Reference Guides for Distribution are stocks of printed Field Reference Guides for distribution to diving instructors and fleet vessel crews.  They are non-record copies and may be recycled when superseded or obsolete. They are kept in the publications storage closet in room 057."/>
      </w:tblPr>
      <w:tblGrid>
        <w:gridCol w:w="1530"/>
        <w:gridCol w:w="3780"/>
        <w:gridCol w:w="2430"/>
        <w:gridCol w:w="1710"/>
      </w:tblGrid>
      <w:tr w:rsidR="00E23DDF" w:rsidRPr="00D5175F" w14:paraId="4FE354A4" w14:textId="77777777" w:rsidTr="00D157F0">
        <w:trPr>
          <w:cantSplit/>
          <w:tblHeader/>
        </w:trPr>
        <w:tc>
          <w:tcPr>
            <w:tcW w:w="1530" w:type="dxa"/>
            <w:shd w:val="clear" w:color="auto" w:fill="B1D2FB" w:themeFill="accent1" w:themeFillTint="33"/>
            <w:tcMar>
              <w:top w:w="115" w:type="dxa"/>
              <w:left w:w="115" w:type="dxa"/>
              <w:bottom w:w="115" w:type="dxa"/>
              <w:right w:w="115" w:type="dxa"/>
            </w:tcMar>
            <w:vAlign w:val="center"/>
          </w:tcPr>
          <w:p w14:paraId="4013846E" w14:textId="77777777" w:rsidR="00D5175F" w:rsidRPr="00D5175F" w:rsidRDefault="00D5175F" w:rsidP="00625317">
            <w:pPr>
              <w:pStyle w:val="ListParagraph"/>
              <w:ind w:left="0"/>
              <w:contextualSpacing w:val="0"/>
              <w:rPr>
                <w:rStyle w:val="Strong"/>
              </w:rPr>
            </w:pPr>
            <w:r w:rsidRPr="00D5175F">
              <w:rPr>
                <w:rStyle w:val="Strong"/>
              </w:rPr>
              <w:t>File Number</w:t>
            </w:r>
          </w:p>
        </w:tc>
        <w:tc>
          <w:tcPr>
            <w:tcW w:w="3780" w:type="dxa"/>
            <w:shd w:val="clear" w:color="auto" w:fill="B1D2FB" w:themeFill="accent1" w:themeFillTint="33"/>
            <w:tcMar>
              <w:top w:w="115" w:type="dxa"/>
              <w:left w:w="115" w:type="dxa"/>
              <w:bottom w:w="115" w:type="dxa"/>
              <w:right w:w="115" w:type="dxa"/>
            </w:tcMar>
            <w:vAlign w:val="center"/>
          </w:tcPr>
          <w:p w14:paraId="47CC55A3" w14:textId="77777777" w:rsidR="00D5175F" w:rsidRPr="00D5175F" w:rsidRDefault="00D5175F" w:rsidP="00625317">
            <w:pPr>
              <w:pStyle w:val="ListParagraph"/>
              <w:ind w:left="0"/>
              <w:contextualSpacing w:val="0"/>
              <w:rPr>
                <w:rStyle w:val="Strong"/>
              </w:rPr>
            </w:pPr>
            <w:r w:rsidRPr="00D5175F">
              <w:rPr>
                <w:rStyle w:val="Strong"/>
              </w:rPr>
              <w:t>Series Title/ Description</w:t>
            </w:r>
          </w:p>
        </w:tc>
        <w:tc>
          <w:tcPr>
            <w:tcW w:w="2430" w:type="dxa"/>
            <w:shd w:val="clear" w:color="auto" w:fill="B1D2FB" w:themeFill="accent1" w:themeFillTint="33"/>
            <w:tcMar>
              <w:top w:w="115" w:type="dxa"/>
              <w:left w:w="115" w:type="dxa"/>
              <w:bottom w:w="115" w:type="dxa"/>
              <w:right w:w="115" w:type="dxa"/>
            </w:tcMar>
            <w:vAlign w:val="center"/>
          </w:tcPr>
          <w:p w14:paraId="04FE3AB7" w14:textId="77777777" w:rsidR="00D5175F" w:rsidRPr="00D5175F" w:rsidRDefault="00CB46B4" w:rsidP="00625317">
            <w:pPr>
              <w:pStyle w:val="ListParagraph"/>
              <w:ind w:left="0"/>
              <w:contextualSpacing w:val="0"/>
              <w:rPr>
                <w:rStyle w:val="Strong"/>
              </w:rPr>
            </w:pPr>
            <w:r>
              <w:rPr>
                <w:rStyle w:val="Strong"/>
              </w:rPr>
              <w:t>Retention and</w:t>
            </w:r>
            <w:r w:rsidR="00D5175F" w:rsidRPr="00D5175F">
              <w:rPr>
                <w:rStyle w:val="Strong"/>
              </w:rPr>
              <w:t xml:space="preserve"> Disposition</w:t>
            </w:r>
          </w:p>
        </w:tc>
        <w:tc>
          <w:tcPr>
            <w:tcW w:w="1710" w:type="dxa"/>
            <w:shd w:val="clear" w:color="auto" w:fill="B1D2FB" w:themeFill="accent1" w:themeFillTint="33"/>
            <w:tcMar>
              <w:top w:w="115" w:type="dxa"/>
              <w:left w:w="115" w:type="dxa"/>
              <w:bottom w:w="115" w:type="dxa"/>
              <w:right w:w="115" w:type="dxa"/>
            </w:tcMar>
            <w:vAlign w:val="center"/>
          </w:tcPr>
          <w:p w14:paraId="281F328F" w14:textId="77777777" w:rsidR="00D5175F" w:rsidRPr="00D5175F" w:rsidRDefault="00D5175F" w:rsidP="00625317">
            <w:pPr>
              <w:pStyle w:val="ListParagraph"/>
              <w:ind w:left="0"/>
              <w:contextualSpacing w:val="0"/>
              <w:rPr>
                <w:rStyle w:val="Strong"/>
              </w:rPr>
            </w:pPr>
            <w:r w:rsidRPr="00D5175F">
              <w:rPr>
                <w:rStyle w:val="Strong"/>
              </w:rPr>
              <w:t>Location</w:t>
            </w:r>
          </w:p>
        </w:tc>
      </w:tr>
      <w:tr w:rsidR="00E23DDF" w14:paraId="6AD9754C" w14:textId="77777777" w:rsidTr="00D157F0">
        <w:trPr>
          <w:cantSplit/>
        </w:trPr>
        <w:tc>
          <w:tcPr>
            <w:tcW w:w="1530" w:type="dxa"/>
            <w:tcMar>
              <w:top w:w="115" w:type="dxa"/>
              <w:left w:w="115" w:type="dxa"/>
              <w:bottom w:w="115" w:type="dxa"/>
              <w:right w:w="115" w:type="dxa"/>
            </w:tcMar>
          </w:tcPr>
          <w:p w14:paraId="5F32F65C" w14:textId="77777777" w:rsidR="00D5175F" w:rsidRDefault="00D5175F" w:rsidP="00625317">
            <w:pPr>
              <w:pStyle w:val="ListParagraph"/>
              <w:ind w:left="0"/>
              <w:contextualSpacing w:val="0"/>
            </w:pPr>
            <w:r>
              <w:t>200-02</w:t>
            </w:r>
            <w:proofErr w:type="gramStart"/>
            <w:r>
              <w:t>a(</w:t>
            </w:r>
            <w:proofErr w:type="gramEnd"/>
            <w:r>
              <w:t>1)</w:t>
            </w:r>
          </w:p>
        </w:tc>
        <w:tc>
          <w:tcPr>
            <w:tcW w:w="3780" w:type="dxa"/>
            <w:tcMar>
              <w:top w:w="115" w:type="dxa"/>
              <w:left w:w="115" w:type="dxa"/>
              <w:bottom w:w="115" w:type="dxa"/>
              <w:right w:w="115" w:type="dxa"/>
            </w:tcMar>
          </w:tcPr>
          <w:p w14:paraId="41221F02" w14:textId="77777777" w:rsidR="00D5175F" w:rsidRPr="008234BD" w:rsidRDefault="00D5175F" w:rsidP="00625317">
            <w:pPr>
              <w:pStyle w:val="ListParagraph"/>
              <w:ind w:left="0"/>
              <w:contextualSpacing w:val="0"/>
              <w:rPr>
                <w:rStyle w:val="Strong"/>
              </w:rPr>
            </w:pPr>
            <w:r w:rsidRPr="008234BD">
              <w:rPr>
                <w:rStyle w:val="Strong"/>
              </w:rPr>
              <w:t>Audit Case Files</w:t>
            </w:r>
            <w:r w:rsidR="00CB46B4" w:rsidRPr="008234BD">
              <w:rPr>
                <w:rStyle w:val="Strong"/>
              </w:rPr>
              <w:t>.</w:t>
            </w:r>
          </w:p>
          <w:p w14:paraId="550C65AB" w14:textId="77777777" w:rsidR="00CB46B4" w:rsidRDefault="00CB46B4" w:rsidP="00625317">
            <w:pPr>
              <w:pStyle w:val="ListParagraph"/>
              <w:ind w:left="0"/>
              <w:contextualSpacing w:val="0"/>
            </w:pPr>
            <w:r>
              <w:t>Case files of internal and external audits of agency programs, operations, and procedures, including contractors and grantees.  Files contain audit reports, correspondence, memoranda, and supporting working papers.</w:t>
            </w:r>
          </w:p>
        </w:tc>
        <w:tc>
          <w:tcPr>
            <w:tcW w:w="2430" w:type="dxa"/>
            <w:tcMar>
              <w:top w:w="115" w:type="dxa"/>
              <w:left w:w="115" w:type="dxa"/>
              <w:bottom w:w="115" w:type="dxa"/>
              <w:right w:w="115" w:type="dxa"/>
            </w:tcMar>
          </w:tcPr>
          <w:p w14:paraId="57A53812" w14:textId="77777777" w:rsidR="00D5175F" w:rsidRDefault="00CB46B4" w:rsidP="00625317">
            <w:pPr>
              <w:pStyle w:val="ListParagraph"/>
              <w:ind w:left="0"/>
              <w:contextualSpacing w:val="0"/>
            </w:pPr>
            <w:r>
              <w:t>Temporary.</w:t>
            </w:r>
          </w:p>
          <w:p w14:paraId="7864FA67" w14:textId="77777777" w:rsidR="00CB46B4" w:rsidRDefault="00CB46B4" w:rsidP="00625317">
            <w:pPr>
              <w:pStyle w:val="ListParagraph"/>
              <w:ind w:left="0"/>
              <w:contextualSpacing w:val="0"/>
            </w:pPr>
            <w:r>
              <w:t>Cut off at the end of the fiscal year in which the case is closed.</w:t>
            </w:r>
          </w:p>
          <w:p w14:paraId="54E748E3" w14:textId="77777777" w:rsidR="00CB46B4" w:rsidRDefault="00CB46B4" w:rsidP="00625317">
            <w:pPr>
              <w:pStyle w:val="ListParagraph"/>
              <w:ind w:left="0"/>
              <w:contextualSpacing w:val="0"/>
            </w:pPr>
            <w:r>
              <w:t>Destroy 8 years after cutoff.</w:t>
            </w:r>
          </w:p>
          <w:p w14:paraId="47E415E4" w14:textId="77777777" w:rsidR="00CB46B4" w:rsidRDefault="00CB46B4" w:rsidP="00625317">
            <w:pPr>
              <w:pStyle w:val="ListParagraph"/>
              <w:ind w:left="0"/>
              <w:contextualSpacing w:val="0"/>
            </w:pPr>
          </w:p>
          <w:p w14:paraId="1428951C" w14:textId="77777777" w:rsidR="00D5175F" w:rsidRDefault="00CB46B4" w:rsidP="00625317">
            <w:pPr>
              <w:pStyle w:val="ListParagraph"/>
              <w:ind w:left="0"/>
              <w:contextualSpacing w:val="0"/>
            </w:pPr>
            <w:r>
              <w:t>DAA-0370-2015-0006</w:t>
            </w:r>
          </w:p>
        </w:tc>
        <w:tc>
          <w:tcPr>
            <w:tcW w:w="1710" w:type="dxa"/>
            <w:tcMar>
              <w:top w:w="115" w:type="dxa"/>
              <w:left w:w="115" w:type="dxa"/>
              <w:bottom w:w="115" w:type="dxa"/>
              <w:right w:w="115" w:type="dxa"/>
            </w:tcMar>
          </w:tcPr>
          <w:p w14:paraId="73ED1F5F" w14:textId="77777777" w:rsidR="00D5175F" w:rsidRDefault="00D85CE0" w:rsidP="00625317">
            <w:pPr>
              <w:pStyle w:val="ListParagraph"/>
              <w:ind w:left="0"/>
              <w:contextualSpacing w:val="0"/>
            </w:pPr>
            <w:r>
              <w:t>Central Files, Office of Audits, Room 1111</w:t>
            </w:r>
          </w:p>
        </w:tc>
      </w:tr>
      <w:tr w:rsidR="00E23DDF" w14:paraId="1C8903DC" w14:textId="77777777" w:rsidTr="00D157F0">
        <w:trPr>
          <w:cantSplit/>
        </w:trPr>
        <w:tc>
          <w:tcPr>
            <w:tcW w:w="1530" w:type="dxa"/>
            <w:tcMar>
              <w:top w:w="115" w:type="dxa"/>
              <w:left w:w="115" w:type="dxa"/>
              <w:bottom w:w="115" w:type="dxa"/>
              <w:right w:w="115" w:type="dxa"/>
            </w:tcMar>
          </w:tcPr>
          <w:p w14:paraId="3375D321" w14:textId="77777777" w:rsidR="00D5175F" w:rsidRDefault="00D5175F" w:rsidP="00625317">
            <w:pPr>
              <w:pStyle w:val="ListParagraph"/>
              <w:ind w:left="0"/>
              <w:contextualSpacing w:val="0"/>
            </w:pPr>
            <w:r>
              <w:t>1201-01(d)</w:t>
            </w:r>
          </w:p>
        </w:tc>
        <w:tc>
          <w:tcPr>
            <w:tcW w:w="3780" w:type="dxa"/>
            <w:tcMar>
              <w:top w:w="115" w:type="dxa"/>
              <w:left w:w="115" w:type="dxa"/>
              <w:bottom w:w="115" w:type="dxa"/>
              <w:right w:w="115" w:type="dxa"/>
            </w:tcMar>
          </w:tcPr>
          <w:p w14:paraId="4A316FD4" w14:textId="77777777" w:rsidR="00D5175F" w:rsidRPr="008234BD" w:rsidRDefault="00D5175F" w:rsidP="00625317">
            <w:pPr>
              <w:pStyle w:val="ListParagraph"/>
              <w:ind w:left="0"/>
              <w:contextualSpacing w:val="0"/>
              <w:rPr>
                <w:rStyle w:val="Strong"/>
              </w:rPr>
            </w:pPr>
            <w:r w:rsidRPr="008234BD">
              <w:rPr>
                <w:rStyle w:val="Strong"/>
              </w:rPr>
              <w:t>Common Mission Guidance Files</w:t>
            </w:r>
            <w:r w:rsidR="008234BD" w:rsidRPr="008234BD">
              <w:rPr>
                <w:rStyle w:val="Strong"/>
              </w:rPr>
              <w:t>.</w:t>
            </w:r>
          </w:p>
          <w:p w14:paraId="659C05DC" w14:textId="77777777" w:rsidR="002447EE" w:rsidRDefault="008234BD" w:rsidP="00625317">
            <w:pPr>
              <w:pStyle w:val="ListParagraph"/>
              <w:ind w:left="0"/>
              <w:contextualSpacing w:val="0"/>
            </w:pPr>
            <w:r>
              <w:t>Record copy of g</w:t>
            </w:r>
            <w:r w:rsidR="002447EE">
              <w:t>uidance given to operating offices on policies or procedures.</w:t>
            </w:r>
          </w:p>
        </w:tc>
        <w:tc>
          <w:tcPr>
            <w:tcW w:w="2430" w:type="dxa"/>
            <w:tcMar>
              <w:top w:w="115" w:type="dxa"/>
              <w:left w:w="115" w:type="dxa"/>
              <w:bottom w:w="115" w:type="dxa"/>
              <w:right w:w="115" w:type="dxa"/>
            </w:tcMar>
          </w:tcPr>
          <w:p w14:paraId="2D99ADB4" w14:textId="77777777" w:rsidR="00D5175F" w:rsidRDefault="002447EE" w:rsidP="00625317">
            <w:pPr>
              <w:pStyle w:val="ListParagraph"/>
              <w:ind w:left="0"/>
              <w:contextualSpacing w:val="0"/>
            </w:pPr>
            <w:r>
              <w:t>Permanent.</w:t>
            </w:r>
          </w:p>
          <w:p w14:paraId="7BA991A0" w14:textId="77777777" w:rsidR="002447EE" w:rsidRDefault="002447EE" w:rsidP="00625317">
            <w:pPr>
              <w:pStyle w:val="ListParagraph"/>
              <w:ind w:left="0"/>
              <w:contextualSpacing w:val="0"/>
            </w:pPr>
            <w:r>
              <w:t>Cut off at end of calendar year when created.</w:t>
            </w:r>
          </w:p>
          <w:p w14:paraId="3344B304" w14:textId="77777777" w:rsidR="002447EE" w:rsidRDefault="002447EE" w:rsidP="00625317">
            <w:pPr>
              <w:pStyle w:val="ListParagraph"/>
              <w:ind w:left="0"/>
              <w:contextualSpacing w:val="0"/>
            </w:pPr>
            <w:r>
              <w:t>Transfer to NARA 10 years after cutoff.</w:t>
            </w:r>
          </w:p>
          <w:p w14:paraId="6D947F16" w14:textId="77777777" w:rsidR="00672312" w:rsidRDefault="00672312" w:rsidP="00625317">
            <w:pPr>
              <w:pStyle w:val="ListParagraph"/>
              <w:ind w:left="0"/>
              <w:contextualSpacing w:val="0"/>
            </w:pPr>
          </w:p>
          <w:p w14:paraId="74DC58A3" w14:textId="77777777" w:rsidR="00D5175F" w:rsidRDefault="00D5175F" w:rsidP="00625317">
            <w:pPr>
              <w:pStyle w:val="ListParagraph"/>
              <w:ind w:left="0"/>
              <w:contextualSpacing w:val="0"/>
            </w:pPr>
            <w:r>
              <w:t>NC1-370-79-03</w:t>
            </w:r>
          </w:p>
        </w:tc>
        <w:tc>
          <w:tcPr>
            <w:tcW w:w="1710" w:type="dxa"/>
            <w:tcMar>
              <w:top w:w="115" w:type="dxa"/>
              <w:left w:w="115" w:type="dxa"/>
              <w:bottom w:w="115" w:type="dxa"/>
              <w:right w:w="115" w:type="dxa"/>
            </w:tcMar>
          </w:tcPr>
          <w:p w14:paraId="444169EA" w14:textId="77777777" w:rsidR="00D5175F" w:rsidRDefault="00D85CE0" w:rsidP="00625317">
            <w:pPr>
              <w:pStyle w:val="ListParagraph"/>
              <w:ind w:left="0"/>
              <w:contextualSpacing w:val="0"/>
            </w:pPr>
            <w:r>
              <w:t>Central Files, Human Resources, Room 2345</w:t>
            </w:r>
          </w:p>
        </w:tc>
      </w:tr>
      <w:tr w:rsidR="00E23DDF" w14:paraId="77271D90" w14:textId="77777777" w:rsidTr="00D157F0">
        <w:trPr>
          <w:cantSplit/>
        </w:trPr>
        <w:tc>
          <w:tcPr>
            <w:tcW w:w="1530" w:type="dxa"/>
            <w:tcMar>
              <w:top w:w="115" w:type="dxa"/>
              <w:left w:w="115" w:type="dxa"/>
              <w:bottom w:w="115" w:type="dxa"/>
              <w:right w:w="115" w:type="dxa"/>
            </w:tcMar>
          </w:tcPr>
          <w:p w14:paraId="4F65DE32" w14:textId="77777777" w:rsidR="00D5175F" w:rsidRDefault="00D5175F" w:rsidP="00625317">
            <w:pPr>
              <w:pStyle w:val="ListParagraph"/>
              <w:ind w:left="0"/>
              <w:contextualSpacing w:val="0"/>
            </w:pPr>
            <w:r>
              <w:t>1503-16a</w:t>
            </w:r>
          </w:p>
        </w:tc>
        <w:tc>
          <w:tcPr>
            <w:tcW w:w="3780" w:type="dxa"/>
            <w:tcMar>
              <w:top w:w="115" w:type="dxa"/>
              <w:left w:w="115" w:type="dxa"/>
              <w:bottom w:w="115" w:type="dxa"/>
              <w:right w:w="115" w:type="dxa"/>
            </w:tcMar>
          </w:tcPr>
          <w:p w14:paraId="120A04C0" w14:textId="77777777" w:rsidR="002447EE" w:rsidRPr="008234BD" w:rsidRDefault="00D5175F" w:rsidP="00625317">
            <w:pPr>
              <w:pStyle w:val="ListParagraph"/>
              <w:ind w:left="0"/>
              <w:contextualSpacing w:val="0"/>
              <w:rPr>
                <w:rStyle w:val="Strong"/>
              </w:rPr>
            </w:pPr>
            <w:r w:rsidRPr="008234BD">
              <w:rPr>
                <w:rStyle w:val="Strong"/>
              </w:rPr>
              <w:t>Essential Fish Habitat Consultation Files</w:t>
            </w:r>
            <w:r w:rsidR="002447EE" w:rsidRPr="008234BD">
              <w:rPr>
                <w:rStyle w:val="Strong"/>
              </w:rPr>
              <w:t>.</w:t>
            </w:r>
          </w:p>
          <w:p w14:paraId="2564F266" w14:textId="77777777" w:rsidR="002447EE" w:rsidRDefault="002447EE" w:rsidP="00625317">
            <w:pPr>
              <w:pStyle w:val="ListParagraph"/>
              <w:ind w:left="0"/>
              <w:contextualSpacing w:val="0"/>
            </w:pPr>
            <w:r>
              <w:t>Correspondence between the agency and Federal agencies, state agencies, and councils concerning measures to minimize the adverse effects of actions on essential fish habitats.</w:t>
            </w:r>
          </w:p>
        </w:tc>
        <w:tc>
          <w:tcPr>
            <w:tcW w:w="2430" w:type="dxa"/>
            <w:tcMar>
              <w:top w:w="115" w:type="dxa"/>
              <w:left w:w="115" w:type="dxa"/>
              <w:bottom w:w="115" w:type="dxa"/>
              <w:right w:w="115" w:type="dxa"/>
            </w:tcMar>
          </w:tcPr>
          <w:p w14:paraId="2CB3F2D2" w14:textId="77777777" w:rsidR="00D5175F" w:rsidRDefault="002447EE" w:rsidP="00625317">
            <w:pPr>
              <w:pStyle w:val="ListParagraph"/>
              <w:ind w:left="0"/>
              <w:contextualSpacing w:val="0"/>
            </w:pPr>
            <w:r>
              <w:t>Permanent.</w:t>
            </w:r>
          </w:p>
          <w:p w14:paraId="0E772BDF" w14:textId="77777777" w:rsidR="002447EE" w:rsidRDefault="002447EE" w:rsidP="00625317">
            <w:pPr>
              <w:pStyle w:val="ListParagraph"/>
              <w:ind w:left="0"/>
              <w:contextualSpacing w:val="0"/>
            </w:pPr>
            <w:r>
              <w:t>Cut off annually.  Retire to FRC when 5 years old.  Transfer to NARA with related indexes when 25 years old.</w:t>
            </w:r>
          </w:p>
          <w:p w14:paraId="0CDACBBA" w14:textId="77777777" w:rsidR="00672312" w:rsidRDefault="00672312" w:rsidP="00625317">
            <w:pPr>
              <w:pStyle w:val="ListParagraph"/>
              <w:ind w:left="0"/>
              <w:contextualSpacing w:val="0"/>
            </w:pPr>
          </w:p>
          <w:p w14:paraId="40C65D83" w14:textId="77777777" w:rsidR="00D5175F" w:rsidRDefault="00D5175F" w:rsidP="00625317">
            <w:pPr>
              <w:pStyle w:val="ListParagraph"/>
              <w:ind w:left="0"/>
              <w:contextualSpacing w:val="0"/>
            </w:pPr>
            <w:r>
              <w:t>N1-370-01-004</w:t>
            </w:r>
          </w:p>
        </w:tc>
        <w:tc>
          <w:tcPr>
            <w:tcW w:w="1710" w:type="dxa"/>
            <w:tcMar>
              <w:top w:w="115" w:type="dxa"/>
              <w:left w:w="115" w:type="dxa"/>
              <w:bottom w:w="115" w:type="dxa"/>
              <w:right w:w="115" w:type="dxa"/>
            </w:tcMar>
          </w:tcPr>
          <w:p w14:paraId="14FE343F" w14:textId="77777777" w:rsidR="00D5175F" w:rsidRDefault="00D85CE0" w:rsidP="00D85CE0">
            <w:pPr>
              <w:pStyle w:val="ListParagraph"/>
              <w:ind w:left="0"/>
              <w:contextualSpacing w:val="0"/>
            </w:pPr>
            <w:r>
              <w:t xml:space="preserve">Central Files, </w:t>
            </w:r>
            <w:r w:rsidRPr="00D85CE0">
              <w:t>Ichthyology</w:t>
            </w:r>
            <w:r>
              <w:t>, Room 818</w:t>
            </w:r>
          </w:p>
        </w:tc>
      </w:tr>
      <w:tr w:rsidR="00E23DDF" w14:paraId="4EEE598D" w14:textId="77777777" w:rsidTr="00D157F0">
        <w:trPr>
          <w:cantSplit/>
        </w:trPr>
        <w:tc>
          <w:tcPr>
            <w:tcW w:w="1530" w:type="dxa"/>
            <w:tcMar>
              <w:top w:w="115" w:type="dxa"/>
              <w:left w:w="115" w:type="dxa"/>
              <w:bottom w:w="115" w:type="dxa"/>
              <w:right w:w="115" w:type="dxa"/>
            </w:tcMar>
          </w:tcPr>
          <w:p w14:paraId="32A624DC" w14:textId="77777777" w:rsidR="00D5175F" w:rsidRDefault="00D5175F" w:rsidP="00625317">
            <w:pPr>
              <w:pStyle w:val="ListParagraph"/>
              <w:ind w:left="0"/>
              <w:contextualSpacing w:val="0"/>
            </w:pPr>
            <w:r>
              <w:lastRenderedPageBreak/>
              <w:t>1609-04A</w:t>
            </w:r>
          </w:p>
        </w:tc>
        <w:tc>
          <w:tcPr>
            <w:tcW w:w="3780" w:type="dxa"/>
            <w:tcMar>
              <w:top w:w="115" w:type="dxa"/>
              <w:left w:w="115" w:type="dxa"/>
              <w:bottom w:w="115" w:type="dxa"/>
              <w:right w:w="115" w:type="dxa"/>
            </w:tcMar>
          </w:tcPr>
          <w:p w14:paraId="2AE0D607" w14:textId="77777777" w:rsidR="00D5175F" w:rsidRPr="008234BD" w:rsidRDefault="00D5175F" w:rsidP="00625317">
            <w:pPr>
              <w:pStyle w:val="ListParagraph"/>
              <w:ind w:left="0"/>
              <w:contextualSpacing w:val="0"/>
              <w:rPr>
                <w:rStyle w:val="Strong"/>
              </w:rPr>
            </w:pPr>
            <w:r w:rsidRPr="008234BD">
              <w:rPr>
                <w:rStyle w:val="Strong"/>
              </w:rPr>
              <w:t>Environmental Impact Statements and Environmental Assessments</w:t>
            </w:r>
            <w:r w:rsidR="00CB46B4" w:rsidRPr="008234BD">
              <w:rPr>
                <w:rStyle w:val="Strong"/>
              </w:rPr>
              <w:t>.</w:t>
            </w:r>
          </w:p>
          <w:p w14:paraId="0E7F96AC" w14:textId="77777777" w:rsidR="00CB46B4" w:rsidRPr="008234BD" w:rsidRDefault="00CB46B4" w:rsidP="00625317">
            <w:pPr>
              <w:pStyle w:val="ListParagraph"/>
              <w:ind w:left="0"/>
              <w:contextualSpacing w:val="0"/>
              <w:rPr>
                <w:rStyle w:val="Strong"/>
              </w:rPr>
            </w:pPr>
            <w:r w:rsidRPr="008234BD">
              <w:rPr>
                <w:rStyle w:val="Strong"/>
              </w:rPr>
              <w:t>Final Reports.</w:t>
            </w:r>
          </w:p>
          <w:p w14:paraId="4FC40CF0" w14:textId="77777777" w:rsidR="00CB46B4" w:rsidRDefault="00CB46B4" w:rsidP="00BA0C15">
            <w:pPr>
              <w:pStyle w:val="ListParagraph"/>
              <w:ind w:left="0"/>
              <w:contextualSpacing w:val="0"/>
            </w:pPr>
            <w:r>
              <w:t>Documents that record the effort to protect the environment in c</w:t>
            </w:r>
            <w:r w:rsidR="007B76D4">
              <w:t xml:space="preserve">arrying out Federal programs. </w:t>
            </w:r>
            <w:r>
              <w:t>Statements include a description of the proposed project</w:t>
            </w:r>
            <w:r w:rsidR="00BA0C15">
              <w:t xml:space="preserve"> and</w:t>
            </w:r>
            <w:r>
              <w:t xml:space="preserve"> existing environment of the project and an examination of the alternative courses of action.</w:t>
            </w:r>
          </w:p>
        </w:tc>
        <w:tc>
          <w:tcPr>
            <w:tcW w:w="2430" w:type="dxa"/>
            <w:tcMar>
              <w:top w:w="115" w:type="dxa"/>
              <w:left w:w="115" w:type="dxa"/>
              <w:bottom w:w="115" w:type="dxa"/>
              <w:right w:w="115" w:type="dxa"/>
            </w:tcMar>
          </w:tcPr>
          <w:p w14:paraId="2F3145D4" w14:textId="77777777" w:rsidR="00CB46B4" w:rsidRDefault="00CB46B4" w:rsidP="00625317">
            <w:pPr>
              <w:pStyle w:val="ListParagraph"/>
              <w:ind w:left="0"/>
              <w:contextualSpacing w:val="0"/>
            </w:pPr>
            <w:r>
              <w:t>Permanent.</w:t>
            </w:r>
          </w:p>
          <w:p w14:paraId="1050AC69" w14:textId="77777777" w:rsidR="00CB46B4" w:rsidRDefault="00CB46B4" w:rsidP="00625317">
            <w:pPr>
              <w:pStyle w:val="ListParagraph"/>
              <w:ind w:left="0"/>
              <w:contextualSpacing w:val="0"/>
            </w:pPr>
            <w:r>
              <w:t>Cut off at the end of the calendar year in which the project is completed.  Transfer to NARA 25 years after the calendar year in which the file was cut off.</w:t>
            </w:r>
          </w:p>
          <w:p w14:paraId="01F2FC2F" w14:textId="77777777" w:rsidR="00D5175F" w:rsidRDefault="00D5175F" w:rsidP="00625317">
            <w:pPr>
              <w:pStyle w:val="ListParagraph"/>
              <w:ind w:left="0"/>
              <w:contextualSpacing w:val="0"/>
            </w:pPr>
            <w:r>
              <w:t>N1-370-02-003</w:t>
            </w:r>
          </w:p>
        </w:tc>
        <w:tc>
          <w:tcPr>
            <w:tcW w:w="1710" w:type="dxa"/>
            <w:tcMar>
              <w:top w:w="115" w:type="dxa"/>
              <w:left w:w="115" w:type="dxa"/>
              <w:bottom w:w="115" w:type="dxa"/>
              <w:right w:w="115" w:type="dxa"/>
            </w:tcMar>
          </w:tcPr>
          <w:p w14:paraId="61C147DA" w14:textId="77777777" w:rsidR="00D5175F" w:rsidRDefault="00D85CE0" w:rsidP="00625317">
            <w:pPr>
              <w:pStyle w:val="ListParagraph"/>
              <w:ind w:left="0"/>
              <w:contextualSpacing w:val="0"/>
            </w:pPr>
            <w:r>
              <w:t>Central Files, Room 1274</w:t>
            </w:r>
          </w:p>
        </w:tc>
      </w:tr>
      <w:tr w:rsidR="00E23DDF" w14:paraId="2978F1AC" w14:textId="77777777" w:rsidTr="00D157F0">
        <w:trPr>
          <w:cantSplit/>
        </w:trPr>
        <w:tc>
          <w:tcPr>
            <w:tcW w:w="1530" w:type="dxa"/>
            <w:tcMar>
              <w:top w:w="115" w:type="dxa"/>
              <w:left w:w="115" w:type="dxa"/>
              <w:bottom w:w="115" w:type="dxa"/>
              <w:right w:w="115" w:type="dxa"/>
            </w:tcMar>
          </w:tcPr>
          <w:p w14:paraId="28EE6186" w14:textId="77777777" w:rsidR="00D5175F" w:rsidRDefault="00D5175F" w:rsidP="00625317">
            <w:pPr>
              <w:pStyle w:val="ListParagraph"/>
              <w:ind w:left="0"/>
              <w:contextualSpacing w:val="0"/>
            </w:pPr>
            <w:r>
              <w:t>1805-11</w:t>
            </w:r>
          </w:p>
        </w:tc>
        <w:tc>
          <w:tcPr>
            <w:tcW w:w="3780" w:type="dxa"/>
            <w:tcMar>
              <w:top w:w="115" w:type="dxa"/>
              <w:left w:w="115" w:type="dxa"/>
              <w:bottom w:w="115" w:type="dxa"/>
              <w:right w:w="115" w:type="dxa"/>
            </w:tcMar>
          </w:tcPr>
          <w:p w14:paraId="5C20095A" w14:textId="77777777" w:rsidR="00D5175F" w:rsidRPr="008234BD" w:rsidRDefault="00D5175F" w:rsidP="00625317">
            <w:pPr>
              <w:pStyle w:val="ListParagraph"/>
              <w:ind w:left="0"/>
              <w:contextualSpacing w:val="0"/>
              <w:rPr>
                <w:rStyle w:val="Strong"/>
              </w:rPr>
            </w:pPr>
            <w:r w:rsidRPr="008234BD">
              <w:rPr>
                <w:rStyle w:val="Strong"/>
              </w:rPr>
              <w:t>Diver Case Files</w:t>
            </w:r>
            <w:r w:rsidR="002447EE" w:rsidRPr="008234BD">
              <w:rPr>
                <w:rStyle w:val="Strong"/>
              </w:rPr>
              <w:t>.</w:t>
            </w:r>
          </w:p>
          <w:p w14:paraId="541399F6" w14:textId="77777777" w:rsidR="002447EE" w:rsidRDefault="002447EE" w:rsidP="00625317">
            <w:pPr>
              <w:pStyle w:val="ListParagraph"/>
              <w:ind w:left="0"/>
              <w:contextualSpacing w:val="0"/>
            </w:pPr>
            <w:r>
              <w:t>Case file established for each individual diver.  Contains training records, certifications, medical records, and CPR, First Aid, and individual dive logs.</w:t>
            </w:r>
          </w:p>
        </w:tc>
        <w:tc>
          <w:tcPr>
            <w:tcW w:w="2430" w:type="dxa"/>
            <w:tcMar>
              <w:top w:w="115" w:type="dxa"/>
              <w:left w:w="115" w:type="dxa"/>
              <w:bottom w:w="115" w:type="dxa"/>
              <w:right w:w="115" w:type="dxa"/>
            </w:tcMar>
          </w:tcPr>
          <w:p w14:paraId="0F064B29" w14:textId="77777777" w:rsidR="002447EE" w:rsidRDefault="002447EE" w:rsidP="00625317">
            <w:pPr>
              <w:pStyle w:val="ListParagraph"/>
              <w:ind w:left="0"/>
              <w:contextualSpacing w:val="0"/>
            </w:pPr>
            <w:r>
              <w:t>Temporary. Cut off when diver becomes inactive</w:t>
            </w:r>
            <w:r w:rsidR="00672312">
              <w:t xml:space="preserve">, then </w:t>
            </w:r>
            <w:r>
              <w:t>transfer to FRC.</w:t>
            </w:r>
            <w:r w:rsidR="00CB46B4">
              <w:t xml:space="preserve">  Destroy 75 years after cutoff.</w:t>
            </w:r>
          </w:p>
          <w:p w14:paraId="7F7E20BC" w14:textId="77777777" w:rsidR="00672312" w:rsidRDefault="00672312" w:rsidP="00625317">
            <w:pPr>
              <w:pStyle w:val="ListParagraph"/>
              <w:ind w:left="0"/>
              <w:contextualSpacing w:val="0"/>
            </w:pPr>
          </w:p>
          <w:p w14:paraId="24BAB905" w14:textId="77777777" w:rsidR="00D5175F" w:rsidRDefault="00D5175F" w:rsidP="00625317">
            <w:pPr>
              <w:pStyle w:val="ListParagraph"/>
              <w:ind w:left="0"/>
              <w:contextualSpacing w:val="0"/>
            </w:pPr>
            <w:r>
              <w:t>N1-370-09-001</w:t>
            </w:r>
          </w:p>
        </w:tc>
        <w:tc>
          <w:tcPr>
            <w:tcW w:w="1710" w:type="dxa"/>
            <w:tcMar>
              <w:top w:w="115" w:type="dxa"/>
              <w:left w:w="115" w:type="dxa"/>
              <w:bottom w:w="115" w:type="dxa"/>
              <w:right w:w="115" w:type="dxa"/>
            </w:tcMar>
          </w:tcPr>
          <w:p w14:paraId="2A58BDE0" w14:textId="77777777" w:rsidR="00D5175F" w:rsidRDefault="00D85CE0" w:rsidP="00625317">
            <w:pPr>
              <w:pStyle w:val="ListParagraph"/>
              <w:ind w:left="0"/>
              <w:contextualSpacing w:val="0"/>
            </w:pPr>
            <w:r>
              <w:t>Central Files, Room 1274</w:t>
            </w:r>
          </w:p>
        </w:tc>
      </w:tr>
      <w:tr w:rsidR="00D5175F" w14:paraId="07C37095" w14:textId="77777777" w:rsidTr="00D157F0">
        <w:trPr>
          <w:cantSplit/>
        </w:trPr>
        <w:tc>
          <w:tcPr>
            <w:tcW w:w="1530" w:type="dxa"/>
            <w:tcMar>
              <w:top w:w="115" w:type="dxa"/>
              <w:left w:w="115" w:type="dxa"/>
              <w:bottom w:w="115" w:type="dxa"/>
              <w:right w:w="115" w:type="dxa"/>
            </w:tcMar>
          </w:tcPr>
          <w:p w14:paraId="1FDC2F46" w14:textId="77777777" w:rsidR="00D5175F" w:rsidRDefault="00D5175F" w:rsidP="00625317">
            <w:pPr>
              <w:pStyle w:val="ListParagraph"/>
              <w:ind w:left="0"/>
              <w:contextualSpacing w:val="0"/>
            </w:pPr>
            <w:r>
              <w:t>1901-13</w:t>
            </w:r>
          </w:p>
          <w:p w14:paraId="5D0E5776" w14:textId="77777777" w:rsidR="00D5175F" w:rsidRDefault="00D5175F" w:rsidP="00625317">
            <w:pPr>
              <w:pStyle w:val="ListParagraph"/>
              <w:ind w:left="0"/>
              <w:contextualSpacing w:val="0"/>
            </w:pPr>
          </w:p>
        </w:tc>
        <w:tc>
          <w:tcPr>
            <w:tcW w:w="3780" w:type="dxa"/>
            <w:tcMar>
              <w:top w:w="115" w:type="dxa"/>
              <w:left w:w="115" w:type="dxa"/>
              <w:bottom w:w="115" w:type="dxa"/>
              <w:right w:w="115" w:type="dxa"/>
            </w:tcMar>
          </w:tcPr>
          <w:p w14:paraId="0A3E2B34" w14:textId="77777777" w:rsidR="00D5175F" w:rsidRPr="008234BD" w:rsidRDefault="00D5175F" w:rsidP="00625317">
            <w:pPr>
              <w:pStyle w:val="ListParagraph"/>
              <w:ind w:left="0"/>
              <w:contextualSpacing w:val="0"/>
              <w:rPr>
                <w:rStyle w:val="Strong"/>
              </w:rPr>
            </w:pPr>
            <w:r w:rsidRPr="008234BD">
              <w:rPr>
                <w:rStyle w:val="Strong"/>
              </w:rPr>
              <w:t>Information Request Files</w:t>
            </w:r>
          </w:p>
          <w:p w14:paraId="0E0C1B7F" w14:textId="77777777" w:rsidR="002447EE" w:rsidRDefault="002447EE" w:rsidP="00625317">
            <w:pPr>
              <w:pStyle w:val="ListParagraph"/>
              <w:ind w:left="0"/>
              <w:contextualSpacing w:val="0"/>
            </w:pPr>
            <w:r>
              <w:t>Requests for data and related information.</w:t>
            </w:r>
            <w:r w:rsidR="008234BD">
              <w:t xml:space="preserve">  Includes requests, correspondence, and related documents.</w:t>
            </w:r>
          </w:p>
        </w:tc>
        <w:tc>
          <w:tcPr>
            <w:tcW w:w="2430" w:type="dxa"/>
            <w:tcMar>
              <w:top w:w="115" w:type="dxa"/>
              <w:left w:w="115" w:type="dxa"/>
              <w:bottom w:w="115" w:type="dxa"/>
              <w:right w:w="115" w:type="dxa"/>
            </w:tcMar>
          </w:tcPr>
          <w:p w14:paraId="0187940F" w14:textId="77777777" w:rsidR="002447EE" w:rsidRDefault="002447EE" w:rsidP="00625317">
            <w:pPr>
              <w:pStyle w:val="ListParagraph"/>
              <w:ind w:left="0"/>
              <w:contextualSpacing w:val="0"/>
            </w:pPr>
            <w:r>
              <w:t>Cut off at end of calendar year when created.  Destroy 2 years after cutoff.</w:t>
            </w:r>
          </w:p>
          <w:p w14:paraId="4947AA69" w14:textId="77777777" w:rsidR="00672312" w:rsidRDefault="00672312" w:rsidP="00625317">
            <w:pPr>
              <w:pStyle w:val="ListParagraph"/>
              <w:ind w:left="0"/>
              <w:contextualSpacing w:val="0"/>
            </w:pPr>
          </w:p>
          <w:p w14:paraId="5D61695E" w14:textId="77777777" w:rsidR="00D5175F" w:rsidRDefault="00D5175F" w:rsidP="00625317">
            <w:pPr>
              <w:pStyle w:val="ListParagraph"/>
              <w:ind w:left="0"/>
              <w:contextualSpacing w:val="0"/>
            </w:pPr>
            <w:r>
              <w:t>NC1-370-83-01</w:t>
            </w:r>
          </w:p>
        </w:tc>
        <w:tc>
          <w:tcPr>
            <w:tcW w:w="1710" w:type="dxa"/>
            <w:tcMar>
              <w:top w:w="115" w:type="dxa"/>
              <w:left w:w="115" w:type="dxa"/>
              <w:bottom w:w="115" w:type="dxa"/>
              <w:right w:w="115" w:type="dxa"/>
            </w:tcMar>
          </w:tcPr>
          <w:p w14:paraId="7D141DAD" w14:textId="77777777" w:rsidR="00D5175F" w:rsidRDefault="00D85CE0" w:rsidP="00625317">
            <w:pPr>
              <w:pStyle w:val="ListParagraph"/>
              <w:ind w:left="0"/>
              <w:contextualSpacing w:val="0"/>
            </w:pPr>
            <w:r>
              <w:t>Central Files, Room 1274</w:t>
            </w:r>
          </w:p>
        </w:tc>
      </w:tr>
      <w:tr w:rsidR="00D85CE0" w14:paraId="05D9BF23" w14:textId="77777777" w:rsidTr="00D157F0">
        <w:trPr>
          <w:cantSplit/>
        </w:trPr>
        <w:tc>
          <w:tcPr>
            <w:tcW w:w="1530" w:type="dxa"/>
            <w:tcMar>
              <w:top w:w="115" w:type="dxa"/>
              <w:left w:w="115" w:type="dxa"/>
              <w:bottom w:w="115" w:type="dxa"/>
              <w:right w:w="115" w:type="dxa"/>
            </w:tcMar>
          </w:tcPr>
          <w:p w14:paraId="6FC2CBFC" w14:textId="77777777" w:rsidR="00672312" w:rsidRDefault="00672312" w:rsidP="00BD3D73">
            <w:pPr>
              <w:pStyle w:val="ListParagraph"/>
              <w:ind w:left="0"/>
              <w:contextualSpacing w:val="0"/>
            </w:pPr>
            <w:r>
              <w:t>Non-record</w:t>
            </w:r>
          </w:p>
          <w:p w14:paraId="1F1863CE" w14:textId="77777777" w:rsidR="00672312" w:rsidRDefault="00672312" w:rsidP="00BD3D73">
            <w:pPr>
              <w:pStyle w:val="ListParagraph"/>
              <w:ind w:left="0"/>
              <w:contextualSpacing w:val="0"/>
            </w:pPr>
          </w:p>
        </w:tc>
        <w:tc>
          <w:tcPr>
            <w:tcW w:w="3780" w:type="dxa"/>
            <w:tcMar>
              <w:top w:w="115" w:type="dxa"/>
              <w:left w:w="115" w:type="dxa"/>
              <w:bottom w:w="115" w:type="dxa"/>
              <w:right w:w="115" w:type="dxa"/>
            </w:tcMar>
          </w:tcPr>
          <w:p w14:paraId="05B9A6FD" w14:textId="77777777" w:rsidR="00672312" w:rsidRPr="008234BD" w:rsidRDefault="00672312" w:rsidP="00BD3D73">
            <w:pPr>
              <w:pStyle w:val="ListParagraph"/>
              <w:ind w:left="0"/>
              <w:contextualSpacing w:val="0"/>
              <w:rPr>
                <w:rStyle w:val="Strong"/>
              </w:rPr>
            </w:pPr>
            <w:r>
              <w:rPr>
                <w:rStyle w:val="Strong"/>
              </w:rPr>
              <w:t>Field Reference Guides for Distribution</w:t>
            </w:r>
          </w:p>
          <w:p w14:paraId="3E47E086" w14:textId="77777777" w:rsidR="00672312" w:rsidRDefault="00BA0C15" w:rsidP="00BD3D73">
            <w:pPr>
              <w:pStyle w:val="ListParagraph"/>
              <w:ind w:left="0"/>
              <w:contextualSpacing w:val="0"/>
            </w:pPr>
            <w:r>
              <w:t>Stocks of printed Field Reference Guides for distribution to diving instructors and fleet vessel crews.</w:t>
            </w:r>
          </w:p>
        </w:tc>
        <w:tc>
          <w:tcPr>
            <w:tcW w:w="2430" w:type="dxa"/>
            <w:tcMar>
              <w:top w:w="115" w:type="dxa"/>
              <w:left w:w="115" w:type="dxa"/>
              <w:bottom w:w="115" w:type="dxa"/>
              <w:right w:w="115" w:type="dxa"/>
            </w:tcMar>
          </w:tcPr>
          <w:p w14:paraId="667D3963" w14:textId="77777777" w:rsidR="00672312" w:rsidRDefault="00BA0C15" w:rsidP="00BD3D73">
            <w:pPr>
              <w:pStyle w:val="ListParagraph"/>
              <w:ind w:left="0"/>
              <w:contextualSpacing w:val="0"/>
            </w:pPr>
            <w:r>
              <w:t>Non-record copies.  Recycle when superseded or obsolete.</w:t>
            </w:r>
          </w:p>
        </w:tc>
        <w:tc>
          <w:tcPr>
            <w:tcW w:w="1710" w:type="dxa"/>
            <w:tcMar>
              <w:top w:w="115" w:type="dxa"/>
              <w:left w:w="115" w:type="dxa"/>
              <w:bottom w:w="115" w:type="dxa"/>
              <w:right w:w="115" w:type="dxa"/>
            </w:tcMar>
          </w:tcPr>
          <w:p w14:paraId="6D0F7A75" w14:textId="77777777" w:rsidR="00672312" w:rsidRDefault="00D85CE0" w:rsidP="00BD3D73">
            <w:pPr>
              <w:pStyle w:val="ListParagraph"/>
              <w:ind w:left="0"/>
              <w:contextualSpacing w:val="0"/>
            </w:pPr>
            <w:r>
              <w:t>Publications Storage Closet, Room 057</w:t>
            </w:r>
          </w:p>
        </w:tc>
      </w:tr>
    </w:tbl>
    <w:p w14:paraId="0D865319" w14:textId="77777777" w:rsidR="00D54AD6" w:rsidRDefault="00D54AD6" w:rsidP="00DD5C3D"/>
    <w:sectPr w:rsidR="00D54AD6" w:rsidSect="00D8795D">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6ECA94" w14:textId="77777777" w:rsidR="003B17BD" w:rsidRDefault="003B17BD" w:rsidP="00890601">
      <w:pPr>
        <w:spacing w:before="0" w:after="0" w:line="240" w:lineRule="auto"/>
      </w:pPr>
      <w:r>
        <w:separator/>
      </w:r>
    </w:p>
  </w:endnote>
  <w:endnote w:type="continuationSeparator" w:id="0">
    <w:p w14:paraId="6884AB4A" w14:textId="77777777" w:rsidR="003B17BD" w:rsidRDefault="003B17BD"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1263316"/>
      <w:docPartObj>
        <w:docPartGallery w:val="Page Numbers (Bottom of Page)"/>
        <w:docPartUnique/>
      </w:docPartObj>
    </w:sdtPr>
    <w:sdtEndPr>
      <w:rPr>
        <w:noProof/>
      </w:rPr>
    </w:sdtEndPr>
    <w:sdtContent>
      <w:p w14:paraId="64827C78" w14:textId="77777777" w:rsidR="009D68B7" w:rsidRDefault="009D68B7">
        <w:pPr>
          <w:pStyle w:val="Footer"/>
          <w:jc w:val="right"/>
        </w:pPr>
        <w:r>
          <w:fldChar w:fldCharType="begin"/>
        </w:r>
        <w:r>
          <w:instrText xml:space="preserve"> PAGE   \* MERGEFORMAT </w:instrText>
        </w:r>
        <w:r>
          <w:fldChar w:fldCharType="separate"/>
        </w:r>
        <w:r w:rsidR="00F00FD6">
          <w:rPr>
            <w:noProof/>
          </w:rPr>
          <w:t>9</w:t>
        </w:r>
        <w:r>
          <w:rPr>
            <w:noProof/>
          </w:rPr>
          <w:fldChar w:fldCharType="end"/>
        </w:r>
      </w:p>
    </w:sdtContent>
  </w:sdt>
  <w:p w14:paraId="7CEDF609" w14:textId="77777777" w:rsidR="009D68B7" w:rsidRDefault="009D68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307049" w14:textId="77777777" w:rsidR="003B17BD" w:rsidRDefault="003B17BD" w:rsidP="00890601">
      <w:pPr>
        <w:spacing w:before="0" w:after="0" w:line="240" w:lineRule="auto"/>
      </w:pPr>
      <w:r>
        <w:separator/>
      </w:r>
    </w:p>
  </w:footnote>
  <w:footnote w:type="continuationSeparator" w:id="0">
    <w:p w14:paraId="67108386" w14:textId="77777777" w:rsidR="003B17BD" w:rsidRDefault="003B17BD"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34852" w14:textId="77777777" w:rsidR="009D68B7" w:rsidRPr="002D1042" w:rsidRDefault="009D68B7" w:rsidP="002D1042">
    <w:pPr>
      <w:pStyle w:val="Header"/>
      <w:spacing w:before="0" w:after="0" w:line="240" w:lineRule="auto"/>
      <w:jc w:val="right"/>
      <w:rPr>
        <w:sz w:val="20"/>
      </w:rPr>
    </w:pPr>
    <w:r w:rsidRPr="002D1042">
      <w:rPr>
        <w:sz w:val="20"/>
      </w:rPr>
      <w:t>Federal Records Management – Level 1 – Creat</w:t>
    </w:r>
    <w:r>
      <w:rPr>
        <w:sz w:val="20"/>
      </w:rPr>
      <w:t>ion</w:t>
    </w:r>
    <w:r w:rsidRPr="002D1042">
      <w:rPr>
        <w:sz w:val="20"/>
      </w:rPr>
      <w:t xml:space="preserve"> &amp; Recei</w:t>
    </w:r>
    <w:r>
      <w:rPr>
        <w:sz w:val="20"/>
      </w:rPr>
      <w:t>pt</w:t>
    </w:r>
  </w:p>
  <w:p w14:paraId="776A1993" w14:textId="77777777" w:rsidR="009D68B7" w:rsidRPr="002D1042" w:rsidRDefault="009D68B7"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66141"/>
    <w:multiLevelType w:val="hybridMultilevel"/>
    <w:tmpl w:val="FB9E60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2A108A4"/>
    <w:multiLevelType w:val="hybridMultilevel"/>
    <w:tmpl w:val="56BAA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EA9650C"/>
    <w:multiLevelType w:val="hybridMultilevel"/>
    <w:tmpl w:val="93B28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D62AF3"/>
    <w:multiLevelType w:val="hybridMultilevel"/>
    <w:tmpl w:val="ABA8ED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71056A6"/>
    <w:multiLevelType w:val="hybridMultilevel"/>
    <w:tmpl w:val="E7F8D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7446765"/>
    <w:multiLevelType w:val="hybridMultilevel"/>
    <w:tmpl w:val="A0CC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3B7E0E7E"/>
    <w:multiLevelType w:val="hybridMultilevel"/>
    <w:tmpl w:val="61FA13E8"/>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AE2C9E"/>
    <w:multiLevelType w:val="hybridMultilevel"/>
    <w:tmpl w:val="93FE0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B327B6"/>
    <w:multiLevelType w:val="hybridMultilevel"/>
    <w:tmpl w:val="A4F490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2114BF5"/>
    <w:multiLevelType w:val="hybridMultilevel"/>
    <w:tmpl w:val="8DBC0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555226C"/>
    <w:multiLevelType w:val="hybridMultilevel"/>
    <w:tmpl w:val="98021A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6B54FEA"/>
    <w:multiLevelType w:val="hybridMultilevel"/>
    <w:tmpl w:val="8F7AB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AAC5F23"/>
    <w:multiLevelType w:val="hybridMultilevel"/>
    <w:tmpl w:val="2BB64D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4854251"/>
    <w:multiLevelType w:val="hybridMultilevel"/>
    <w:tmpl w:val="A4F490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618A3A82"/>
    <w:multiLevelType w:val="hybridMultilevel"/>
    <w:tmpl w:val="979490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7C65C9B"/>
    <w:multiLevelType w:val="hybridMultilevel"/>
    <w:tmpl w:val="D45A3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2F0E16"/>
    <w:multiLevelType w:val="hybridMultilevel"/>
    <w:tmpl w:val="27DC8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385E5C"/>
    <w:multiLevelType w:val="hybridMultilevel"/>
    <w:tmpl w:val="6144EE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523B71"/>
    <w:multiLevelType w:val="hybridMultilevel"/>
    <w:tmpl w:val="1CF40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5CE200C"/>
    <w:multiLevelType w:val="hybridMultilevel"/>
    <w:tmpl w:val="9CFCEC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33"/>
  </w:num>
  <w:num w:numId="2">
    <w:abstractNumId w:val="14"/>
  </w:num>
  <w:num w:numId="3">
    <w:abstractNumId w:val="12"/>
  </w:num>
  <w:num w:numId="4">
    <w:abstractNumId w:val="39"/>
  </w:num>
  <w:num w:numId="5">
    <w:abstractNumId w:val="15"/>
  </w:num>
  <w:num w:numId="6">
    <w:abstractNumId w:val="22"/>
  </w:num>
  <w:num w:numId="7">
    <w:abstractNumId w:val="3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9"/>
  </w:num>
  <w:num w:numId="19">
    <w:abstractNumId w:val="20"/>
  </w:num>
  <w:num w:numId="20">
    <w:abstractNumId w:val="34"/>
  </w:num>
  <w:num w:numId="21">
    <w:abstractNumId w:val="27"/>
  </w:num>
  <w:num w:numId="22">
    <w:abstractNumId w:val="13"/>
  </w:num>
  <w:num w:numId="23">
    <w:abstractNumId w:val="42"/>
  </w:num>
  <w:num w:numId="24">
    <w:abstractNumId w:val="16"/>
  </w:num>
  <w:num w:numId="25">
    <w:abstractNumId w:val="29"/>
  </w:num>
  <w:num w:numId="26">
    <w:abstractNumId w:val="38"/>
  </w:num>
  <w:num w:numId="27">
    <w:abstractNumId w:val="36"/>
  </w:num>
  <w:num w:numId="28">
    <w:abstractNumId w:val="25"/>
  </w:num>
  <w:num w:numId="29">
    <w:abstractNumId w:val="10"/>
  </w:num>
  <w:num w:numId="30">
    <w:abstractNumId w:val="26"/>
  </w:num>
  <w:num w:numId="31">
    <w:abstractNumId w:val="41"/>
  </w:num>
  <w:num w:numId="32">
    <w:abstractNumId w:val="32"/>
  </w:num>
  <w:num w:numId="33">
    <w:abstractNumId w:val="17"/>
  </w:num>
  <w:num w:numId="34">
    <w:abstractNumId w:val="24"/>
  </w:num>
  <w:num w:numId="35">
    <w:abstractNumId w:val="37"/>
  </w:num>
  <w:num w:numId="36">
    <w:abstractNumId w:val="18"/>
  </w:num>
  <w:num w:numId="37">
    <w:abstractNumId w:val="11"/>
  </w:num>
  <w:num w:numId="38">
    <w:abstractNumId w:val="35"/>
  </w:num>
  <w:num w:numId="39">
    <w:abstractNumId w:val="31"/>
  </w:num>
  <w:num w:numId="40">
    <w:abstractNumId w:val="28"/>
  </w:num>
  <w:num w:numId="41">
    <w:abstractNumId w:val="40"/>
  </w:num>
  <w:num w:numId="42">
    <w:abstractNumId w:val="21"/>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2E6"/>
    <w:rsid w:val="000376AB"/>
    <w:rsid w:val="00056843"/>
    <w:rsid w:val="000E65FF"/>
    <w:rsid w:val="00101111"/>
    <w:rsid w:val="00120096"/>
    <w:rsid w:val="001209BB"/>
    <w:rsid w:val="00130E66"/>
    <w:rsid w:val="001715D0"/>
    <w:rsid w:val="001A2F6E"/>
    <w:rsid w:val="001C4AC1"/>
    <w:rsid w:val="001D0082"/>
    <w:rsid w:val="001D3976"/>
    <w:rsid w:val="001D3EBA"/>
    <w:rsid w:val="001F1566"/>
    <w:rsid w:val="001F3B13"/>
    <w:rsid w:val="001F6663"/>
    <w:rsid w:val="00215D76"/>
    <w:rsid w:val="00225687"/>
    <w:rsid w:val="002447EE"/>
    <w:rsid w:val="0026573E"/>
    <w:rsid w:val="00271E88"/>
    <w:rsid w:val="002761E8"/>
    <w:rsid w:val="0029274A"/>
    <w:rsid w:val="00295042"/>
    <w:rsid w:val="002A28FF"/>
    <w:rsid w:val="002A5CAB"/>
    <w:rsid w:val="002C37BB"/>
    <w:rsid w:val="002D1042"/>
    <w:rsid w:val="002E7E68"/>
    <w:rsid w:val="00335AF7"/>
    <w:rsid w:val="00375E6F"/>
    <w:rsid w:val="00386014"/>
    <w:rsid w:val="00387DD4"/>
    <w:rsid w:val="003902E6"/>
    <w:rsid w:val="003B17BD"/>
    <w:rsid w:val="003C7865"/>
    <w:rsid w:val="003C7BFD"/>
    <w:rsid w:val="00427B67"/>
    <w:rsid w:val="00432AB9"/>
    <w:rsid w:val="00441FD7"/>
    <w:rsid w:val="0044675F"/>
    <w:rsid w:val="00453485"/>
    <w:rsid w:val="0048267D"/>
    <w:rsid w:val="00491E0A"/>
    <w:rsid w:val="004E50DC"/>
    <w:rsid w:val="00502B88"/>
    <w:rsid w:val="00527187"/>
    <w:rsid w:val="0054315E"/>
    <w:rsid w:val="00546983"/>
    <w:rsid w:val="0055212A"/>
    <w:rsid w:val="00557882"/>
    <w:rsid w:val="00573084"/>
    <w:rsid w:val="00574DE9"/>
    <w:rsid w:val="00581F21"/>
    <w:rsid w:val="005C257E"/>
    <w:rsid w:val="005F4774"/>
    <w:rsid w:val="00606CDE"/>
    <w:rsid w:val="00621D3A"/>
    <w:rsid w:val="00625317"/>
    <w:rsid w:val="0063222C"/>
    <w:rsid w:val="00645252"/>
    <w:rsid w:val="00657ECB"/>
    <w:rsid w:val="00662D19"/>
    <w:rsid w:val="00672312"/>
    <w:rsid w:val="00681037"/>
    <w:rsid w:val="00697CC4"/>
    <w:rsid w:val="006B5069"/>
    <w:rsid w:val="006B7091"/>
    <w:rsid w:val="006B7713"/>
    <w:rsid w:val="006D1C30"/>
    <w:rsid w:val="006D3D74"/>
    <w:rsid w:val="006D557C"/>
    <w:rsid w:val="006F02E4"/>
    <w:rsid w:val="006F1850"/>
    <w:rsid w:val="007234B5"/>
    <w:rsid w:val="00730F13"/>
    <w:rsid w:val="007410EA"/>
    <w:rsid w:val="007B0FD6"/>
    <w:rsid w:val="007B76D4"/>
    <w:rsid w:val="007C58C0"/>
    <w:rsid w:val="007E0146"/>
    <w:rsid w:val="008234BD"/>
    <w:rsid w:val="008257AD"/>
    <w:rsid w:val="00826DE6"/>
    <w:rsid w:val="008303F0"/>
    <w:rsid w:val="00842114"/>
    <w:rsid w:val="00881401"/>
    <w:rsid w:val="00890601"/>
    <w:rsid w:val="0089370C"/>
    <w:rsid w:val="008A3C39"/>
    <w:rsid w:val="008B702B"/>
    <w:rsid w:val="008C744F"/>
    <w:rsid w:val="0097350B"/>
    <w:rsid w:val="00994BF7"/>
    <w:rsid w:val="009C049F"/>
    <w:rsid w:val="009D68B7"/>
    <w:rsid w:val="009E59F4"/>
    <w:rsid w:val="009F7AF3"/>
    <w:rsid w:val="00A24357"/>
    <w:rsid w:val="00A433EE"/>
    <w:rsid w:val="00A509F2"/>
    <w:rsid w:val="00A677F7"/>
    <w:rsid w:val="00A9204E"/>
    <w:rsid w:val="00AB0499"/>
    <w:rsid w:val="00AD3820"/>
    <w:rsid w:val="00AE6E05"/>
    <w:rsid w:val="00B765DD"/>
    <w:rsid w:val="00B81448"/>
    <w:rsid w:val="00BA0C15"/>
    <w:rsid w:val="00BA113A"/>
    <w:rsid w:val="00BA5F94"/>
    <w:rsid w:val="00BA6B54"/>
    <w:rsid w:val="00BC2526"/>
    <w:rsid w:val="00BD3D73"/>
    <w:rsid w:val="00C231CD"/>
    <w:rsid w:val="00C44502"/>
    <w:rsid w:val="00C5066F"/>
    <w:rsid w:val="00C57BC0"/>
    <w:rsid w:val="00C66785"/>
    <w:rsid w:val="00C84982"/>
    <w:rsid w:val="00C919E4"/>
    <w:rsid w:val="00CB3057"/>
    <w:rsid w:val="00CB46B4"/>
    <w:rsid w:val="00D1023C"/>
    <w:rsid w:val="00D157F0"/>
    <w:rsid w:val="00D22B54"/>
    <w:rsid w:val="00D32061"/>
    <w:rsid w:val="00D44FDB"/>
    <w:rsid w:val="00D5175F"/>
    <w:rsid w:val="00D54AD6"/>
    <w:rsid w:val="00D66D2B"/>
    <w:rsid w:val="00D819CA"/>
    <w:rsid w:val="00D85CE0"/>
    <w:rsid w:val="00D873FB"/>
    <w:rsid w:val="00D8795D"/>
    <w:rsid w:val="00DC37FD"/>
    <w:rsid w:val="00DD5C3D"/>
    <w:rsid w:val="00DE5703"/>
    <w:rsid w:val="00E11D72"/>
    <w:rsid w:val="00E230D1"/>
    <w:rsid w:val="00E23DDF"/>
    <w:rsid w:val="00E63689"/>
    <w:rsid w:val="00E67B87"/>
    <w:rsid w:val="00E8088A"/>
    <w:rsid w:val="00E90E07"/>
    <w:rsid w:val="00E96CE7"/>
    <w:rsid w:val="00EC71F8"/>
    <w:rsid w:val="00F00FD6"/>
    <w:rsid w:val="00F10027"/>
    <w:rsid w:val="00F311C4"/>
    <w:rsid w:val="00F31A31"/>
    <w:rsid w:val="00F951AD"/>
    <w:rsid w:val="00FE707E"/>
    <w:rsid w:val="00FF1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AAC7AF"/>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2E6"/>
    <w:rPr>
      <w:rFonts w:ascii="Lucida Sans" w:hAnsi="Lucida Sans"/>
      <w:sz w:val="24"/>
    </w:rPr>
  </w:style>
  <w:style w:type="paragraph" w:styleId="Heading1">
    <w:name w:val="heading 1"/>
    <w:basedOn w:val="Normal"/>
    <w:next w:val="Normal"/>
    <w:link w:val="Heading1Char"/>
    <w:uiPriority w:val="9"/>
    <w:qFormat/>
    <w:rsid w:val="003902E6"/>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b/>
      <w:color w:val="FFFFFF" w:themeColor="background1"/>
      <w:spacing w:val="15"/>
      <w:sz w:val="28"/>
      <w:szCs w:val="22"/>
    </w:rPr>
  </w:style>
  <w:style w:type="paragraph" w:styleId="Heading2">
    <w:name w:val="heading 2"/>
    <w:basedOn w:val="Normal"/>
    <w:next w:val="Normal"/>
    <w:link w:val="Heading2Char"/>
    <w:uiPriority w:val="9"/>
    <w:unhideWhenUsed/>
    <w:qFormat/>
    <w:rsid w:val="003902E6"/>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after="0"/>
      <w:outlineLvl w:val="1"/>
    </w:pPr>
    <w:rPr>
      <w:b/>
      <w:spacing w:val="15"/>
    </w:rPr>
  </w:style>
  <w:style w:type="paragraph" w:styleId="Heading3">
    <w:name w:val="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02E6"/>
    <w:rPr>
      <w:b/>
      <w:color w:val="FFFFFF" w:themeColor="background1"/>
      <w:spacing w:val="15"/>
      <w:sz w:val="28"/>
      <w:szCs w:val="22"/>
      <w:shd w:val="clear" w:color="auto" w:fill="052F61" w:themeFill="accent1"/>
    </w:rPr>
  </w:style>
  <w:style w:type="character" w:customStyle="1" w:styleId="Heading2Char">
    <w:name w:val="Heading 2 Char"/>
    <w:basedOn w:val="DefaultParagraphFont"/>
    <w:link w:val="Heading2"/>
    <w:uiPriority w:val="9"/>
    <w:rsid w:val="003902E6"/>
    <w:rPr>
      <w:rFonts w:ascii="Lucida Sans" w:hAnsi="Lucida Sans"/>
      <w:b/>
      <w:spacing w:val="15"/>
      <w:sz w:val="24"/>
      <w:shd w:val="clear" w:color="auto" w:fill="B1D2FB" w:themeFill="accent1" w:themeFillTint="33"/>
    </w:rPr>
  </w:style>
  <w:style w:type="character" w:customStyle="1" w:styleId="Heading3Char">
    <w:name w:val="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basedOn w:val="DefaultParagraphFont"/>
    <w:link w:val="Heading4"/>
    <w:uiPriority w:val="9"/>
    <w:rsid w:val="003902E6"/>
    <w:rPr>
      <w:caps/>
      <w:color w:val="032348" w:themeColor="accent1" w:themeShade="BF"/>
      <w:spacing w:val="10"/>
    </w:rPr>
  </w:style>
  <w:style w:type="character" w:customStyle="1" w:styleId="Heading5Char">
    <w:name w:val="Heading 5 Char"/>
    <w:basedOn w:val="DefaultParagraphFont"/>
    <w:link w:val="Heading5"/>
    <w:uiPriority w:val="9"/>
    <w:rsid w:val="003902E6"/>
    <w:rPr>
      <w:caps/>
      <w:color w:val="032348" w:themeColor="accent1" w:themeShade="BF"/>
      <w:spacing w:val="10"/>
    </w:rPr>
  </w:style>
  <w:style w:type="character" w:customStyle="1" w:styleId="Heading6Char">
    <w:name w:val="Heading 6 Char"/>
    <w:basedOn w:val="DefaultParagraphFont"/>
    <w:link w:val="Heading6"/>
    <w:uiPriority w:val="9"/>
    <w:rsid w:val="003902E6"/>
    <w:rPr>
      <w:caps/>
      <w:color w:val="032348" w:themeColor="accent1" w:themeShade="BF"/>
      <w:spacing w:val="10"/>
    </w:rPr>
  </w:style>
  <w:style w:type="character" w:customStyle="1" w:styleId="Heading7Char">
    <w:name w:val="Heading 7 Char"/>
    <w:basedOn w:val="DefaultParagraphFont"/>
    <w:link w:val="Heading7"/>
    <w:uiPriority w:val="9"/>
    <w:rsid w:val="003902E6"/>
    <w:rPr>
      <w:caps/>
      <w:color w:val="032348" w:themeColor="accent1" w:themeShade="BF"/>
      <w:spacing w:val="10"/>
    </w:rPr>
  </w:style>
  <w:style w:type="character" w:customStyle="1" w:styleId="Heading8Char">
    <w:name w:val="Heading 8 Char"/>
    <w:basedOn w:val="DefaultParagraphFont"/>
    <w:link w:val="Heading8"/>
    <w:uiPriority w:val="9"/>
    <w:rsid w:val="003902E6"/>
    <w:rPr>
      <w:caps/>
      <w:spacing w:val="10"/>
      <w:sz w:val="18"/>
      <w:szCs w:val="18"/>
    </w:rPr>
  </w:style>
  <w:style w:type="character" w:customStyle="1" w:styleId="Heading9Char">
    <w:name w:val="Heading 9 Char"/>
    <w:basedOn w:val="DefaultParagraphFont"/>
    <w:link w:val="Heading9"/>
    <w:uiPriority w:val="9"/>
    <w:rsid w:val="003902E6"/>
    <w:rPr>
      <w:i/>
      <w:iCs/>
      <w:caps/>
      <w:spacing w:val="10"/>
      <w:sz w:val="18"/>
      <w:szCs w:val="18"/>
    </w:rPr>
  </w:style>
  <w:style w:type="paragraph" w:styleId="Title">
    <w:name w:val="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uiPriority w:val="19"/>
    <w:qFormat/>
    <w:rsid w:val="003902E6"/>
    <w:rPr>
      <w:i/>
      <w:iCs/>
      <w:color w:val="021730" w:themeColor="accent1" w:themeShade="7F"/>
    </w:rPr>
  </w:style>
  <w:style w:type="character" w:styleId="Emphasis">
    <w:name w:val="Emphasis"/>
    <w:uiPriority w:val="20"/>
    <w:qFormat/>
    <w:rsid w:val="003902E6"/>
    <w:rPr>
      <w:caps/>
      <w:color w:val="021730" w:themeColor="accent1" w:themeShade="7F"/>
      <w:spacing w:val="5"/>
    </w:rPr>
  </w:style>
  <w:style w:type="character" w:styleId="IntenseEmphasis">
    <w:name w:val="Intense Emphasis"/>
    <w:uiPriority w:val="21"/>
    <w:qFormat/>
    <w:rsid w:val="003902E6"/>
    <w:rPr>
      <w:b/>
      <w:bCs/>
      <w:caps/>
      <w:color w:val="021730" w:themeColor="accent1" w:themeShade="7F"/>
      <w:spacing w:val="10"/>
    </w:rPr>
  </w:style>
  <w:style w:type="character" w:styleId="Strong">
    <w:name w:val="Strong"/>
    <w:uiPriority w:val="22"/>
    <w:qFormat/>
    <w:rsid w:val="003902E6"/>
    <w:rPr>
      <w:b/>
      <w:bCs/>
    </w:rPr>
  </w:style>
  <w:style w:type="paragraph" w:styleId="Quote">
    <w:name w:val="Quote"/>
    <w:basedOn w:val="Normal"/>
    <w:next w:val="Normal"/>
    <w:link w:val="QuoteChar"/>
    <w:uiPriority w:val="29"/>
    <w:qFormat/>
    <w:rsid w:val="003902E6"/>
    <w:rPr>
      <w:i/>
      <w:iCs/>
      <w:szCs w:val="24"/>
    </w:rPr>
  </w:style>
  <w:style w:type="character" w:customStyle="1" w:styleId="QuoteChar">
    <w:name w:val="Quote Char"/>
    <w:basedOn w:val="DefaultParagraphFont"/>
    <w:link w:val="Quote"/>
    <w:uiPriority w:val="29"/>
    <w:rsid w:val="003902E6"/>
    <w:rPr>
      <w:i/>
      <w:iCs/>
      <w:sz w:val="24"/>
      <w:szCs w:val="24"/>
    </w:rPr>
  </w:style>
  <w:style w:type="paragraph" w:styleId="IntenseQuote">
    <w:name w:val="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basedOn w:val="DefaultParagraphFont"/>
    <w:link w:val="IntenseQuote"/>
    <w:uiPriority w:val="30"/>
    <w:rsid w:val="003902E6"/>
    <w:rPr>
      <w:color w:val="052F61" w:themeColor="accent1"/>
      <w:sz w:val="24"/>
      <w:szCs w:val="24"/>
    </w:rPr>
  </w:style>
  <w:style w:type="character" w:styleId="SubtleReference">
    <w:name w:val="Subtle Reference"/>
    <w:uiPriority w:val="31"/>
    <w:qFormat/>
    <w:rsid w:val="003902E6"/>
    <w:rPr>
      <w:b/>
      <w:bCs/>
      <w:color w:val="052F61" w:themeColor="accent1"/>
    </w:rPr>
  </w:style>
  <w:style w:type="character" w:styleId="IntenseReference">
    <w:name w:val="Intense Reference"/>
    <w:uiPriority w:val="32"/>
    <w:qFormat/>
    <w:rsid w:val="003902E6"/>
    <w:rPr>
      <w:b/>
      <w:bCs/>
      <w:i/>
      <w:iCs/>
      <w:caps/>
      <w:color w:val="052F61" w:themeColor="accent1"/>
    </w:rPr>
  </w:style>
  <w:style w:type="character" w:styleId="BookTitle">
    <w:name w:val="Book Title"/>
    <w:uiPriority w:val="33"/>
    <w:qFormat/>
    <w:rsid w:val="003902E6"/>
    <w:rPr>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uiPriority w:val="1"/>
    <w:qFormat/>
    <w:rsid w:val="003902E6"/>
    <w:pPr>
      <w:spacing w:after="0" w:line="240" w:lineRule="auto"/>
    </w:pPr>
  </w:style>
  <w:style w:type="paragraph" w:styleId="TOCHeading">
    <w:name w:val="TOC Heading"/>
    <w:basedOn w:val="Heading1"/>
    <w:next w:val="Normal"/>
    <w:uiPriority w:val="39"/>
    <w:unhideWhenUsed/>
    <w:qFormat/>
    <w:rsid w:val="003902E6"/>
    <w:pPr>
      <w:outlineLvl w:val="9"/>
    </w:pPr>
  </w:style>
  <w:style w:type="paragraph" w:styleId="ListParagraph">
    <w:name w:val="List Paragraph"/>
    <w:basedOn w:val="Normal"/>
    <w:uiPriority w:val="34"/>
    <w:qFormat/>
    <w:rsid w:val="00527187"/>
    <w:pPr>
      <w:ind w:left="720"/>
      <w:contextualSpacing/>
    </w:pPr>
  </w:style>
  <w:style w:type="table" w:styleId="TableGrid">
    <w:name w:val="Table Grid"/>
    <w:basedOn w:val="TableNormal"/>
    <w:uiPriority w:val="3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5F71353E-818F-4053-8E33-7E4D0C0375D1}">
  <ds:schemaRefs>
    <ds:schemaRef ds:uri="http://schemas.openxmlformats.org/officeDocument/2006/bibliography"/>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4.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(blank).dotx</Template>
  <TotalTime>0</TotalTime>
  <Pages>10</Pages>
  <Words>886</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RRiat</dc:creator>
  <cp:keywords/>
  <dc:description/>
  <cp:lastModifiedBy>Robin Riat</cp:lastModifiedBy>
  <cp:revision>2</cp:revision>
  <cp:lastPrinted>2019-07-31T21:44:00Z</cp:lastPrinted>
  <dcterms:created xsi:type="dcterms:W3CDTF">2020-07-29T13:50:00Z</dcterms:created>
  <dcterms:modified xsi:type="dcterms:W3CDTF">2020-07-29T13:50:00Z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