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874" w:rsidRPr="00E7072E" w:rsidRDefault="002F3FD4" w:rsidP="002F3FD4">
      <w:pPr>
        <w:jc w:val="center"/>
        <w:rPr>
          <w:sz w:val="24"/>
          <w:szCs w:val="24"/>
        </w:rPr>
      </w:pPr>
      <w:r w:rsidRPr="00E7072E">
        <w:rPr>
          <w:b/>
          <w:sz w:val="24"/>
          <w:szCs w:val="24"/>
        </w:rPr>
        <w:t>Office of the Administrator Ess</w:t>
      </w:r>
      <w:bookmarkStart w:id="0" w:name="_GoBack"/>
      <w:bookmarkEnd w:id="0"/>
      <w:r w:rsidRPr="00E7072E">
        <w:rPr>
          <w:b/>
          <w:sz w:val="24"/>
          <w:szCs w:val="24"/>
        </w:rPr>
        <w:t xml:space="preserve">ential Records Inventory </w:t>
      </w:r>
    </w:p>
    <w:tbl>
      <w:tblPr>
        <w:tblStyle w:val="LightList"/>
        <w:tblpPr w:leftFromText="180" w:rightFromText="180" w:vertAnchor="text" w:horzAnchor="margin" w:tblpY="169"/>
        <w:tblW w:w="5000" w:type="pct"/>
        <w:tblLook w:val="0600" w:firstRow="0" w:lastRow="0" w:firstColumn="0" w:lastColumn="0" w:noHBand="1" w:noVBand="1"/>
        <w:tblCaption w:val="Office of the Administrator Essential Records Inventory"/>
        <w:tblDescription w:val="Inventory for the Office of the Administrator Essential Records includes information for file name, format, location at alternative sites, and delivery instructions to alternate facilities. Also includes storage locations and maintenance  frequency. "/>
      </w:tblPr>
      <w:tblGrid>
        <w:gridCol w:w="3900"/>
        <w:gridCol w:w="1695"/>
        <w:gridCol w:w="1698"/>
        <w:gridCol w:w="1698"/>
        <w:gridCol w:w="2135"/>
        <w:gridCol w:w="1814"/>
      </w:tblGrid>
      <w:tr w:rsidR="009E5344" w:rsidRPr="00E7072E" w:rsidTr="008767BC">
        <w:trPr>
          <w:tblHeader/>
        </w:trPr>
        <w:tc>
          <w:tcPr>
            <w:tcW w:w="1507" w:type="pct"/>
            <w:tcBorders>
              <w:righ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Essential File/Record/Database</w:t>
            </w:r>
          </w:p>
        </w:tc>
        <w:tc>
          <w:tcPr>
            <w:tcW w:w="655" w:type="pct"/>
            <w:tcBorders>
              <w:left w:val="single" w:sz="4" w:space="0" w:color="auto"/>
              <w:righ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Format (Hardcopy Electronic)</w:t>
            </w:r>
          </w:p>
        </w:tc>
        <w:tc>
          <w:tcPr>
            <w:tcW w:w="656" w:type="pct"/>
            <w:tcBorders>
              <w:left w:val="single" w:sz="4" w:space="0" w:color="auto"/>
              <w:righ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Pre-Positioned @Alternate</w:t>
            </w:r>
          </w:p>
          <w:p w:rsidR="008A5548" w:rsidRPr="00E7072E" w:rsidRDefault="008A5548" w:rsidP="009E5344">
            <w:pPr>
              <w:jc w:val="center"/>
              <w:rPr>
                <w:sz w:val="24"/>
                <w:szCs w:val="24"/>
              </w:rPr>
            </w:pPr>
            <w:r w:rsidRPr="00E7072E">
              <w:rPr>
                <w:sz w:val="24"/>
                <w:szCs w:val="24"/>
              </w:rPr>
              <w:t>Site</w:t>
            </w:r>
          </w:p>
        </w:tc>
        <w:tc>
          <w:tcPr>
            <w:tcW w:w="656" w:type="pct"/>
            <w:tcBorders>
              <w:left w:val="single" w:sz="4" w:space="0" w:color="auto"/>
              <w:righ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Hand Carried To Alternate Facility</w:t>
            </w:r>
          </w:p>
        </w:tc>
        <w:tc>
          <w:tcPr>
            <w:tcW w:w="825" w:type="pct"/>
            <w:tcBorders>
              <w:left w:val="single" w:sz="4" w:space="0" w:color="auto"/>
              <w:righ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Storage Location(S)</w:t>
            </w:r>
          </w:p>
        </w:tc>
        <w:tc>
          <w:tcPr>
            <w:tcW w:w="701" w:type="pct"/>
            <w:tcBorders>
              <w:left w:val="single" w:sz="4" w:space="0" w:color="auto"/>
            </w:tcBorders>
            <w:shd w:val="clear" w:color="auto" w:fill="000000" w:themeFill="text1"/>
          </w:tcPr>
          <w:p w:rsidR="002F3FD4" w:rsidRPr="00E7072E" w:rsidRDefault="002F3FD4" w:rsidP="009E5344">
            <w:pPr>
              <w:jc w:val="center"/>
              <w:rPr>
                <w:sz w:val="24"/>
                <w:szCs w:val="24"/>
              </w:rPr>
            </w:pPr>
            <w:r w:rsidRPr="00E7072E">
              <w:rPr>
                <w:sz w:val="24"/>
                <w:szCs w:val="24"/>
              </w:rPr>
              <w:t>Maintenance Frequency</w:t>
            </w:r>
          </w:p>
        </w:tc>
      </w:tr>
      <w:tr w:rsidR="002F3FD4" w:rsidRPr="00E7072E" w:rsidTr="009E5344">
        <w:tc>
          <w:tcPr>
            <w:tcW w:w="1507" w:type="pct"/>
            <w:tcBorders>
              <w:bottom w:val="single" w:sz="4" w:space="0" w:color="auto"/>
              <w:right w:val="single" w:sz="4" w:space="0" w:color="auto"/>
            </w:tcBorders>
          </w:tcPr>
          <w:p w:rsidR="002F3FD4" w:rsidRPr="00E7072E" w:rsidRDefault="002F3FD4" w:rsidP="009E5344">
            <w:pPr>
              <w:jc w:val="center"/>
              <w:rPr>
                <w:sz w:val="24"/>
                <w:szCs w:val="24"/>
              </w:rPr>
            </w:pPr>
            <w:r w:rsidRPr="00E7072E">
              <w:rPr>
                <w:sz w:val="24"/>
                <w:szCs w:val="24"/>
              </w:rPr>
              <w:t>COOP</w:t>
            </w:r>
          </w:p>
          <w:p w:rsidR="002F3FD4" w:rsidRPr="00E7072E" w:rsidRDefault="002F3FD4" w:rsidP="009E5344">
            <w:pPr>
              <w:rPr>
                <w:sz w:val="24"/>
                <w:szCs w:val="24"/>
              </w:rPr>
            </w:pPr>
            <w:r w:rsidRPr="00E7072E">
              <w:rPr>
                <w:sz w:val="24"/>
                <w:szCs w:val="24"/>
              </w:rPr>
              <w:t>Agency Communications Plan</w:t>
            </w:r>
          </w:p>
        </w:tc>
        <w:tc>
          <w:tcPr>
            <w:tcW w:w="655" w:type="pct"/>
            <w:tcBorders>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Intranet,</w:t>
            </w:r>
          </w:p>
          <w:p w:rsidR="002F3FD4" w:rsidRPr="00E7072E" w:rsidRDefault="002F3FD4" w:rsidP="009E5344">
            <w:pPr>
              <w:rPr>
                <w:sz w:val="24"/>
                <w:szCs w:val="24"/>
              </w:rPr>
            </w:pPr>
            <w:r w:rsidRPr="00E7072E">
              <w:rPr>
                <w:sz w:val="24"/>
                <w:szCs w:val="24"/>
              </w:rPr>
              <w:t xml:space="preserve">Hot Site, &amp; Headquarters </w:t>
            </w:r>
          </w:p>
        </w:tc>
        <w:tc>
          <w:tcPr>
            <w:tcW w:w="701" w:type="pct"/>
            <w:tcBorders>
              <w:left w:val="single" w:sz="4" w:space="0" w:color="auto"/>
              <w:bottom w:val="single" w:sz="4" w:space="0" w:color="auto"/>
            </w:tcBorders>
          </w:tcPr>
          <w:p w:rsidR="002F3FD4" w:rsidRPr="00E7072E" w:rsidRDefault="002F3FD4" w:rsidP="009E5344">
            <w:pPr>
              <w:rPr>
                <w:sz w:val="24"/>
                <w:szCs w:val="24"/>
              </w:rPr>
            </w:pPr>
            <w:r w:rsidRPr="00E7072E">
              <w:rPr>
                <w:sz w:val="24"/>
                <w:szCs w:val="24"/>
              </w:rPr>
              <w:t>Bi-annually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Delegations of Authority</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Reviewed 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Orders of Succession</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Implementation Plan</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Reviewed 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COOP Plan</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Intranet,</w:t>
            </w:r>
          </w:p>
          <w:p w:rsidR="002F3FD4" w:rsidRPr="00E7072E" w:rsidRDefault="002F3FD4" w:rsidP="009E5344">
            <w:pPr>
              <w:rPr>
                <w:sz w:val="24"/>
                <w:szCs w:val="24"/>
              </w:rPr>
            </w:pPr>
            <w:r w:rsidRPr="00E7072E">
              <w:rPr>
                <w:sz w:val="24"/>
                <w:szCs w:val="24"/>
              </w:rPr>
              <w:t xml:space="preserve">Hot Site, &amp; Headquarters </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Disaster Response</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Inventory</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Primary Mission Essential Function (s)</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Agency Essential Functions Documentation</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Annually</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Personnel Accountability</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Cycle as contents change</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Official Personnel Folders (OPF)s</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In COOP Folders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Cycle as contents change</w:t>
            </w:r>
          </w:p>
        </w:tc>
      </w:tr>
      <w:tr w:rsidR="002F3FD4" w:rsidRPr="00E7072E" w:rsidTr="009E5344">
        <w:tc>
          <w:tcPr>
            <w:tcW w:w="1507" w:type="pct"/>
            <w:tcBorders>
              <w:top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lastRenderedPageBreak/>
              <w:t>Systems Manual</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Maintain off-site and IT Headquarters</w:t>
            </w:r>
          </w:p>
        </w:tc>
        <w:tc>
          <w:tcPr>
            <w:tcW w:w="701" w:type="pct"/>
            <w:tcBorders>
              <w:top w:val="single" w:sz="4" w:space="0" w:color="auto"/>
              <w:left w:val="single" w:sz="4" w:space="0" w:color="auto"/>
              <w:bottom w:val="single" w:sz="4" w:space="0" w:color="auto"/>
            </w:tcBorders>
          </w:tcPr>
          <w:p w:rsidR="002F3FD4" w:rsidRPr="00E7072E" w:rsidRDefault="002F3FD4" w:rsidP="009E5344">
            <w:pPr>
              <w:rPr>
                <w:sz w:val="24"/>
                <w:szCs w:val="24"/>
              </w:rPr>
            </w:pPr>
            <w:r w:rsidRPr="00E7072E">
              <w:rPr>
                <w:sz w:val="24"/>
                <w:szCs w:val="24"/>
              </w:rPr>
              <w:t>Cycle when superseded</w:t>
            </w:r>
          </w:p>
        </w:tc>
      </w:tr>
      <w:tr w:rsidR="002F3FD4" w:rsidRPr="00E7072E" w:rsidTr="009E5344">
        <w:tc>
          <w:tcPr>
            <w:tcW w:w="1507"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System Documentation</w:t>
            </w:r>
          </w:p>
        </w:tc>
        <w:tc>
          <w:tcPr>
            <w:tcW w:w="65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Hardcopy &amp; Electronic</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Yes</w:t>
            </w:r>
          </w:p>
        </w:tc>
        <w:tc>
          <w:tcPr>
            <w:tcW w:w="656"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No</w:t>
            </w:r>
          </w:p>
        </w:tc>
        <w:tc>
          <w:tcPr>
            <w:tcW w:w="825"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Maintain off-site and IT Headquarters</w:t>
            </w:r>
          </w:p>
        </w:tc>
        <w:tc>
          <w:tcPr>
            <w:tcW w:w="701" w:type="pct"/>
            <w:tcBorders>
              <w:top w:val="single" w:sz="4" w:space="0" w:color="auto"/>
              <w:left w:val="single" w:sz="4" w:space="0" w:color="auto"/>
              <w:bottom w:val="single" w:sz="4" w:space="0" w:color="auto"/>
              <w:right w:val="single" w:sz="4" w:space="0" w:color="auto"/>
            </w:tcBorders>
          </w:tcPr>
          <w:p w:rsidR="002F3FD4" w:rsidRPr="00E7072E" w:rsidRDefault="002F3FD4" w:rsidP="009E5344">
            <w:pPr>
              <w:rPr>
                <w:sz w:val="24"/>
                <w:szCs w:val="24"/>
              </w:rPr>
            </w:pPr>
            <w:r w:rsidRPr="00E7072E">
              <w:rPr>
                <w:sz w:val="24"/>
                <w:szCs w:val="24"/>
              </w:rPr>
              <w:t>Cycle when superseded</w:t>
            </w:r>
          </w:p>
        </w:tc>
      </w:tr>
    </w:tbl>
    <w:p w:rsidR="002F3FD4" w:rsidRDefault="002F3FD4"/>
    <w:sectPr w:rsidR="002F3FD4" w:rsidSect="002F3FD4">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484" w:rsidRDefault="00867484" w:rsidP="002F3FD4">
      <w:pPr>
        <w:spacing w:after="0" w:line="240" w:lineRule="auto"/>
      </w:pPr>
      <w:r>
        <w:separator/>
      </w:r>
    </w:p>
  </w:endnote>
  <w:endnote w:type="continuationSeparator" w:id="0">
    <w:p w:rsidR="00867484" w:rsidRDefault="00867484" w:rsidP="002F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48" w:rsidRDefault="008A55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48" w:rsidRDefault="008A55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48" w:rsidRDefault="008A5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484" w:rsidRDefault="00867484" w:rsidP="002F3FD4">
      <w:pPr>
        <w:spacing w:after="0" w:line="240" w:lineRule="auto"/>
      </w:pPr>
      <w:r>
        <w:separator/>
      </w:r>
    </w:p>
  </w:footnote>
  <w:footnote w:type="continuationSeparator" w:id="0">
    <w:p w:rsidR="00867484" w:rsidRDefault="00867484" w:rsidP="002F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48" w:rsidRDefault="008A55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BC" w:rsidRDefault="002F3FD4" w:rsidP="008767BC">
    <w:pPr>
      <w:spacing w:after="0"/>
    </w:pPr>
    <w:r>
      <w:t>Maintaining an Essential Records Inventory</w:t>
    </w:r>
  </w:p>
  <w:p w:rsidR="008767BC" w:rsidRDefault="008767BC" w:rsidP="008767BC">
    <w:pPr>
      <w:spacing w:after="0"/>
    </w:pPr>
    <w:r>
      <w:t>Course Activity Resource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548" w:rsidRDefault="008A55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D4"/>
    <w:rsid w:val="00184628"/>
    <w:rsid w:val="002F3FD4"/>
    <w:rsid w:val="00345D5C"/>
    <w:rsid w:val="00436A70"/>
    <w:rsid w:val="00506DD4"/>
    <w:rsid w:val="00867484"/>
    <w:rsid w:val="008767BC"/>
    <w:rsid w:val="008A5548"/>
    <w:rsid w:val="009E5344"/>
    <w:rsid w:val="00E33220"/>
    <w:rsid w:val="00E70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2AD991B-1845-4444-BF9F-EB51B0AE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
    <w:name w:val="Light List"/>
    <w:basedOn w:val="TableNormal"/>
    <w:uiPriority w:val="61"/>
    <w:rsid w:val="002F3FD4"/>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2F3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FD4"/>
  </w:style>
  <w:style w:type="paragraph" w:styleId="Footer">
    <w:name w:val="footer"/>
    <w:basedOn w:val="Normal"/>
    <w:link w:val="FooterChar"/>
    <w:uiPriority w:val="99"/>
    <w:unhideWhenUsed/>
    <w:rsid w:val="002F3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F5984-87D0-4791-8F7B-F410A1EE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 Kaplan</dc:creator>
  <cp:keywords/>
  <dc:description/>
  <cp:lastModifiedBy>cluna</cp:lastModifiedBy>
  <cp:revision>2</cp:revision>
  <dcterms:created xsi:type="dcterms:W3CDTF">2019-07-10T15:06:00Z</dcterms:created>
  <dcterms:modified xsi:type="dcterms:W3CDTF">2019-07-10T15:06:00Z</dcterms:modified>
</cp:coreProperties>
</file>