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077C" w14:textId="77777777" w:rsidR="00431C67" w:rsidRDefault="008F3172" w:rsidP="002D2445">
      <w:pPr>
        <w:spacing w:after="0" w:line="240" w:lineRule="auto"/>
        <w:ind w:left="-720"/>
        <w:jc w:val="center"/>
        <w:rPr>
          <w:rFonts w:asciiTheme="minorHAnsi" w:hAnsiTheme="minorHAnsi"/>
        </w:rPr>
      </w:pPr>
      <w:r w:rsidRPr="008F3172">
        <w:rPr>
          <w:b/>
          <w:sz w:val="36"/>
          <w:szCs w:val="36"/>
        </w:rPr>
        <w:t>GENERAL RECORDS SCHEDULE</w:t>
      </w:r>
      <w:r w:rsidR="00DC68B5">
        <w:rPr>
          <w:b/>
          <w:sz w:val="36"/>
          <w:szCs w:val="36"/>
        </w:rPr>
        <w:t xml:space="preserve"> 2.</w:t>
      </w:r>
      <w:r w:rsidR="00431C67">
        <w:rPr>
          <w:b/>
          <w:sz w:val="36"/>
          <w:szCs w:val="36"/>
        </w:rPr>
        <w:t>8</w:t>
      </w:r>
      <w:r w:rsidR="00DC68B5">
        <w:rPr>
          <w:b/>
          <w:sz w:val="36"/>
          <w:szCs w:val="36"/>
        </w:rPr>
        <w:t xml:space="preserve">:  Employee </w:t>
      </w:r>
      <w:r w:rsidR="00431C67">
        <w:rPr>
          <w:b/>
          <w:sz w:val="36"/>
          <w:szCs w:val="36"/>
        </w:rPr>
        <w:t>Ethics Records</w:t>
      </w:r>
    </w:p>
    <w:p w14:paraId="44850D11" w14:textId="77777777" w:rsidR="002D2445" w:rsidRDefault="002D2445" w:rsidP="00CA5A01">
      <w:pPr>
        <w:spacing w:after="0" w:line="240" w:lineRule="auto"/>
        <w:ind w:left="-720"/>
      </w:pPr>
    </w:p>
    <w:p w14:paraId="3F532A1B" w14:textId="77777777" w:rsidR="00FF320B" w:rsidRDefault="00431C67" w:rsidP="00FF320B">
      <w:pPr>
        <w:spacing w:after="0" w:line="240" w:lineRule="auto"/>
        <w:ind w:left="-720"/>
        <w:rPr>
          <w:rFonts w:asciiTheme="minorHAnsi" w:hAnsiTheme="minorHAnsi"/>
        </w:rPr>
      </w:pPr>
      <w:r w:rsidRPr="0043558A">
        <w:t>This schedule covers records documenting the activities of executive branch agency ethics program offices.</w:t>
      </w:r>
      <w:r w:rsidR="0067307A">
        <w:rPr>
          <w:rFonts w:asciiTheme="minorHAnsi" w:hAnsiTheme="minorHAnsi"/>
        </w:rPr>
        <w:t xml:space="preserve"> </w:t>
      </w:r>
    </w:p>
    <w:p w14:paraId="74831AFB" w14:textId="77777777" w:rsidR="00FF320B" w:rsidRDefault="00FF320B" w:rsidP="00FF320B">
      <w:pPr>
        <w:spacing w:after="0" w:line="240" w:lineRule="auto"/>
        <w:ind w:left="-720"/>
        <w:rPr>
          <w:rFonts w:asciiTheme="minorHAnsi" w:hAnsiTheme="minorHAnsi"/>
        </w:rPr>
      </w:pPr>
    </w:p>
    <w:p w14:paraId="64AF12D5" w14:textId="77777777" w:rsidR="00FF320B" w:rsidRDefault="00801B1E" w:rsidP="00FF320B">
      <w:pPr>
        <w:spacing w:after="0" w:line="240" w:lineRule="auto"/>
        <w:ind w:left="-720"/>
      </w:pPr>
      <w:r>
        <w:t xml:space="preserve">Records </w:t>
      </w:r>
      <w:r w:rsidR="00322A1C" w:rsidRPr="0078781C">
        <w:rPr>
          <w:i/>
        </w:rPr>
        <w:t>not</w:t>
      </w:r>
      <w:r>
        <w:t xml:space="preserve"> covered by this schedule:  </w:t>
      </w:r>
      <w:r w:rsidR="00431C67" w:rsidRPr="0043558A">
        <w:t>Records pertaining to legislative branch and judicial branch ethics programs, the Hatch Act, the Whistleblower Protection Act, procurement integrity, and other areas often associated with, but not expressly under</w:t>
      </w:r>
      <w:r>
        <w:t>,</w:t>
      </w:r>
      <w:r w:rsidR="00431C67" w:rsidRPr="0043558A">
        <w:t xml:space="preserve"> the authority of executive branch ethics programs.</w:t>
      </w:r>
    </w:p>
    <w:p w14:paraId="2B7254C4" w14:textId="77777777" w:rsidR="00FF320B" w:rsidRDefault="00FF320B" w:rsidP="00FF320B">
      <w:pPr>
        <w:spacing w:after="0" w:line="240" w:lineRule="auto"/>
        <w:ind w:left="-720"/>
      </w:pPr>
    </w:p>
    <w:p w14:paraId="5C2A9F72" w14:textId="77777777" w:rsidR="00F94222" w:rsidRPr="00F94222" w:rsidRDefault="00801B1E" w:rsidP="00FF320B">
      <w:pPr>
        <w:spacing w:after="0" w:line="240" w:lineRule="auto"/>
        <w:ind w:left="-720"/>
        <w:rPr>
          <w:rFonts w:asciiTheme="minorHAnsi" w:hAnsiTheme="minorHAnsi"/>
        </w:rPr>
      </w:pPr>
      <w:r>
        <w:t xml:space="preserve">Lists </w:t>
      </w:r>
      <w:r w:rsidR="00322A1C" w:rsidRPr="0078781C">
        <w:rPr>
          <w:i/>
        </w:rPr>
        <w:t>not</w:t>
      </w:r>
      <w:r>
        <w:t xml:space="preserve"> included in this schedule:  </w:t>
      </w:r>
      <w:r w:rsidR="00431C67" w:rsidRPr="0043558A">
        <w:t>Master Lists of financial disclosure report filers, individuals requesting outside employment and activities approval, and other types of ethics-related master lists</w:t>
      </w:r>
      <w:r w:rsidR="0067307A">
        <w:t xml:space="preserve">. </w:t>
      </w:r>
      <w:r>
        <w:t xml:space="preserve"> </w:t>
      </w:r>
      <w:r w:rsidR="00431C67" w:rsidRPr="0043558A">
        <w:t>Ethics-related master lists that are used solely for the purpose of tracking and controlling ethics records should be disposed of in accordance with GRS 4.1</w:t>
      </w:r>
      <w:r w:rsidR="00CE6AB7">
        <w:t>,</w:t>
      </w:r>
      <w:r w:rsidR="00431C67" w:rsidRPr="0043558A">
        <w:t xml:space="preserve"> </w:t>
      </w:r>
      <w:r w:rsidR="00431C67" w:rsidRPr="00F34B45">
        <w:rPr>
          <w:i/>
        </w:rPr>
        <w:t>Tracking and Control Records</w:t>
      </w:r>
      <w:r w:rsidR="00431C67" w:rsidRPr="0043558A">
        <w:t xml:space="preserve">. Master Lists that are </w:t>
      </w:r>
      <w:r w:rsidR="009A00AE">
        <w:t xml:space="preserve">used for purposes </w:t>
      </w:r>
      <w:r w:rsidR="00EC5BD9" w:rsidRPr="009A00AE">
        <w:t>other than</w:t>
      </w:r>
      <w:r w:rsidR="00431C67" w:rsidRPr="0043558A">
        <w:t xml:space="preserve"> tracking and controlling ethics records should be disposed of in accordance with the disposition for the underlying records as listed in this schedule or as otherwise scheduled.</w:t>
      </w:r>
      <w:r w:rsidR="0067307A" w:rsidRPr="00F34B45">
        <w:rPr>
          <w:rFonts w:asciiTheme="minorHAnsi" w:hAnsiTheme="minorHAnsi"/>
        </w:rPr>
        <w:t xml:space="preserve"> </w:t>
      </w:r>
      <w:r w:rsidR="0078781C">
        <w:rPr>
          <w:rFonts w:asciiTheme="minorHAnsi" w:hAnsiTheme="minorHAnsi"/>
        </w:rPr>
        <w:t xml:space="preserve">  </w:t>
      </w:r>
      <w:r w:rsidR="00431C67" w:rsidRPr="0043558A">
        <w:t>For ethics training records</w:t>
      </w:r>
      <w:r>
        <w:t>,</w:t>
      </w:r>
      <w:r w:rsidR="00431C67" w:rsidRPr="0043558A">
        <w:t xml:space="preserve"> see GRS 2.6</w:t>
      </w:r>
      <w:r w:rsidR="00CE6AB7">
        <w:t>,</w:t>
      </w:r>
      <w:r w:rsidR="00431C67" w:rsidRPr="0043558A">
        <w:t xml:space="preserve"> </w:t>
      </w:r>
      <w:r w:rsidR="00431C67" w:rsidRPr="00F94222">
        <w:rPr>
          <w:i/>
        </w:rPr>
        <w:t>Employee Training Records</w:t>
      </w:r>
      <w:r w:rsidR="00431C67" w:rsidRPr="0043558A">
        <w:t>.</w:t>
      </w:r>
      <w:r w:rsidR="0067307A">
        <w:t xml:space="preserve"> </w:t>
      </w:r>
    </w:p>
    <w:p w14:paraId="6A33B3C0" w14:textId="77777777" w:rsidR="00FA1738" w:rsidRPr="00761183" w:rsidRDefault="00FA1738" w:rsidP="00CA5A01">
      <w:pPr>
        <w:spacing w:after="0" w:line="240" w:lineRule="auto"/>
        <w:rPr>
          <w:rFonts w:asciiTheme="minorHAnsi" w:hAnsiTheme="minorHAnsi"/>
        </w:rPr>
      </w:pPr>
    </w:p>
    <w:tbl>
      <w:tblPr>
        <w:tblW w:w="144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27"/>
        <w:gridCol w:w="2070"/>
        <w:gridCol w:w="360"/>
        <w:gridCol w:w="4680"/>
        <w:gridCol w:w="2340"/>
        <w:gridCol w:w="2970"/>
        <w:gridCol w:w="1260"/>
      </w:tblGrid>
      <w:tr w:rsidR="00675640" w:rsidRPr="00761183" w14:paraId="774AF14E" w14:textId="77777777" w:rsidTr="009710AF">
        <w:trPr>
          <w:tblHeader/>
        </w:trPr>
        <w:tc>
          <w:tcPr>
            <w:tcW w:w="727" w:type="dxa"/>
            <w:shd w:val="clear" w:color="auto" w:fill="B6DDE8"/>
          </w:tcPr>
          <w:p w14:paraId="5C83B6B2" w14:textId="77777777" w:rsidR="00675640" w:rsidRPr="00761183" w:rsidRDefault="00675640" w:rsidP="009710AF">
            <w:pPr>
              <w:spacing w:after="0" w:line="240" w:lineRule="auto"/>
              <w:jc w:val="center"/>
              <w:rPr>
                <w:rFonts w:asciiTheme="minorHAnsi" w:hAnsiTheme="minorHAnsi" w:cstheme="minorHAnsi"/>
                <w:b/>
              </w:rPr>
            </w:pPr>
            <w:r>
              <w:rPr>
                <w:rFonts w:asciiTheme="minorHAnsi" w:hAnsiTheme="minorHAnsi" w:cstheme="minorHAnsi"/>
                <w:b/>
              </w:rPr>
              <w:t>Item</w:t>
            </w:r>
          </w:p>
        </w:tc>
        <w:tc>
          <w:tcPr>
            <w:tcW w:w="9450" w:type="dxa"/>
            <w:gridSpan w:val="4"/>
            <w:shd w:val="clear" w:color="auto" w:fill="B6DDE8"/>
          </w:tcPr>
          <w:p w14:paraId="4404C4B9" w14:textId="77777777" w:rsidR="00675640" w:rsidRPr="00761183" w:rsidRDefault="00675640" w:rsidP="007C6BD5">
            <w:pPr>
              <w:spacing w:after="0" w:line="240" w:lineRule="auto"/>
              <w:rPr>
                <w:rFonts w:asciiTheme="minorHAnsi" w:hAnsiTheme="minorHAnsi" w:cstheme="minorHAnsi"/>
                <w:b/>
              </w:rPr>
            </w:pPr>
            <w:r w:rsidRPr="00761183">
              <w:rPr>
                <w:rFonts w:asciiTheme="minorHAnsi" w:hAnsiTheme="minorHAnsi" w:cstheme="minorHAnsi"/>
                <w:b/>
              </w:rPr>
              <w:t>Records Description</w:t>
            </w:r>
          </w:p>
        </w:tc>
        <w:tc>
          <w:tcPr>
            <w:tcW w:w="2970" w:type="dxa"/>
            <w:shd w:val="clear" w:color="auto" w:fill="B6DDE8"/>
          </w:tcPr>
          <w:p w14:paraId="05FBC2EE" w14:textId="77777777" w:rsidR="00675640" w:rsidRPr="00761183" w:rsidRDefault="00675640" w:rsidP="007C6BD5">
            <w:pPr>
              <w:spacing w:after="0" w:line="240" w:lineRule="auto"/>
              <w:rPr>
                <w:rFonts w:asciiTheme="minorHAnsi" w:hAnsiTheme="minorHAnsi" w:cstheme="minorHAnsi"/>
                <w:b/>
              </w:rPr>
            </w:pPr>
            <w:r w:rsidRPr="00761183">
              <w:rPr>
                <w:rFonts w:asciiTheme="minorHAnsi" w:hAnsiTheme="minorHAnsi" w:cstheme="minorHAnsi"/>
                <w:b/>
              </w:rPr>
              <w:t xml:space="preserve">Disposition Instruction </w:t>
            </w:r>
          </w:p>
        </w:tc>
        <w:tc>
          <w:tcPr>
            <w:tcW w:w="1260" w:type="dxa"/>
            <w:shd w:val="clear" w:color="auto" w:fill="B6DDE8"/>
          </w:tcPr>
          <w:p w14:paraId="2671D025" w14:textId="77777777" w:rsidR="00675640" w:rsidRPr="00761183" w:rsidRDefault="00675640" w:rsidP="007C6BD5">
            <w:pPr>
              <w:spacing w:after="0" w:line="240" w:lineRule="auto"/>
              <w:jc w:val="center"/>
              <w:rPr>
                <w:rFonts w:asciiTheme="minorHAnsi" w:hAnsiTheme="minorHAnsi" w:cstheme="minorHAnsi"/>
                <w:b/>
              </w:rPr>
            </w:pPr>
            <w:r w:rsidRPr="00761183">
              <w:rPr>
                <w:rFonts w:asciiTheme="minorHAnsi" w:hAnsiTheme="minorHAnsi" w:cstheme="minorHAnsi"/>
                <w:b/>
              </w:rPr>
              <w:t>Disposition Authority</w:t>
            </w:r>
          </w:p>
        </w:tc>
      </w:tr>
      <w:tr w:rsidR="00675640" w:rsidRPr="00761183" w14:paraId="06B0B5D8" w14:textId="77777777" w:rsidTr="009710AF">
        <w:tc>
          <w:tcPr>
            <w:tcW w:w="727" w:type="dxa"/>
          </w:tcPr>
          <w:p w14:paraId="111843B0" w14:textId="77777777" w:rsidR="00675640" w:rsidRPr="00133583" w:rsidRDefault="00675640" w:rsidP="007C6BD5">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rPr>
            </w:pPr>
            <w:r w:rsidRPr="00133583">
              <w:rPr>
                <w:rFonts w:asciiTheme="minorHAnsi" w:hAnsiTheme="minorHAnsi"/>
              </w:rPr>
              <w:t>0</w:t>
            </w:r>
            <w:r>
              <w:rPr>
                <w:rFonts w:asciiTheme="minorHAnsi" w:hAnsiTheme="minorHAnsi"/>
              </w:rPr>
              <w:t>1</w:t>
            </w:r>
            <w:r w:rsidRPr="00133583">
              <w:rPr>
                <w:rFonts w:asciiTheme="minorHAnsi" w:hAnsiTheme="minorHAnsi"/>
              </w:rPr>
              <w:t>0</w:t>
            </w:r>
          </w:p>
        </w:tc>
        <w:tc>
          <w:tcPr>
            <w:tcW w:w="9450" w:type="dxa"/>
            <w:gridSpan w:val="4"/>
          </w:tcPr>
          <w:p w14:paraId="6AE95E46" w14:textId="77777777" w:rsidR="00675640" w:rsidRDefault="00675640" w:rsidP="001C206A">
            <w:pPr>
              <w:spacing w:after="0" w:line="240" w:lineRule="auto"/>
              <w:rPr>
                <w:b/>
              </w:rPr>
            </w:pPr>
            <w:r w:rsidRPr="00133583">
              <w:rPr>
                <w:b/>
              </w:rPr>
              <w:t xml:space="preserve">General </w:t>
            </w:r>
            <w:r w:rsidR="00BD3660">
              <w:rPr>
                <w:b/>
              </w:rPr>
              <w:t>e</w:t>
            </w:r>
            <w:r w:rsidRPr="00133583">
              <w:rPr>
                <w:b/>
              </w:rPr>
              <w:t xml:space="preserve">thics </w:t>
            </w:r>
            <w:r w:rsidR="00BD3660">
              <w:rPr>
                <w:b/>
              </w:rPr>
              <w:t>p</w:t>
            </w:r>
            <w:r w:rsidRPr="00133583">
              <w:rPr>
                <w:b/>
              </w:rPr>
              <w:t xml:space="preserve">rogram </w:t>
            </w:r>
            <w:r w:rsidR="00BD3660">
              <w:rPr>
                <w:b/>
              </w:rPr>
              <w:t>r</w:t>
            </w:r>
            <w:r w:rsidRPr="00133583">
              <w:rPr>
                <w:b/>
              </w:rPr>
              <w:t>ecords</w:t>
            </w:r>
            <w:r w:rsidR="00BD3660">
              <w:rPr>
                <w:b/>
              </w:rPr>
              <w:t>.</w:t>
            </w:r>
          </w:p>
          <w:p w14:paraId="15D28B22" w14:textId="77777777" w:rsidR="00FC5C8E" w:rsidRPr="005A2B13" w:rsidRDefault="00675640" w:rsidP="001C206A">
            <w:pPr>
              <w:shd w:val="clear" w:color="auto" w:fill="FFFFFF"/>
              <w:spacing w:after="0" w:line="240" w:lineRule="auto"/>
              <w:ind w:left="359"/>
              <w:rPr>
                <w:rFonts w:asciiTheme="minorHAnsi" w:eastAsia="Times New Roman" w:hAnsiTheme="minorHAnsi" w:cs="Arial"/>
                <w:color w:val="30302E"/>
              </w:rPr>
            </w:pPr>
            <w:r w:rsidRPr="00133583">
              <w:rPr>
                <w:rFonts w:asciiTheme="minorHAnsi" w:hAnsiTheme="minorHAnsi"/>
              </w:rPr>
              <w:t>Records</w:t>
            </w:r>
            <w:r w:rsidR="004C05C4">
              <w:rPr>
                <w:rFonts w:asciiTheme="minorHAnsi" w:hAnsiTheme="minorHAnsi"/>
              </w:rPr>
              <w:t xml:space="preserve"> created and maintained to coordinate and manage an </w:t>
            </w:r>
            <w:r w:rsidRPr="00133583">
              <w:rPr>
                <w:rFonts w:asciiTheme="minorHAnsi" w:hAnsiTheme="minorHAnsi"/>
              </w:rPr>
              <w:t>agency’s ethics program.</w:t>
            </w:r>
            <w:r w:rsidR="00FC5C8E">
              <w:rPr>
                <w:rFonts w:asciiTheme="minorHAnsi" w:eastAsia="Times New Roman" w:hAnsiTheme="minorHAnsi" w:cs="Arial"/>
                <w:color w:val="30302E"/>
              </w:rPr>
              <w:t xml:space="preserve"> Records relate</w:t>
            </w:r>
            <w:r w:rsidR="00FC5C8E" w:rsidRPr="005A2B13">
              <w:rPr>
                <w:rFonts w:asciiTheme="minorHAnsi" w:eastAsia="Times New Roman" w:hAnsiTheme="minorHAnsi" w:cs="Arial"/>
                <w:color w:val="30302E"/>
              </w:rPr>
              <w:t xml:space="preserve"> to the development, review, implementation, and interpretation of proposed or established executive branch standards of ethical conduct and other ethics regulations; conflict of interest and other ethics</w:t>
            </w:r>
            <w:r w:rsidR="00801B1E">
              <w:rPr>
                <w:rFonts w:asciiTheme="minorHAnsi" w:eastAsia="Times New Roman" w:hAnsiTheme="minorHAnsi" w:cs="Arial"/>
                <w:color w:val="30302E"/>
              </w:rPr>
              <w:t>-</w:t>
            </w:r>
            <w:r w:rsidR="00FC5C8E" w:rsidRPr="005A2B13">
              <w:rPr>
                <w:rFonts w:asciiTheme="minorHAnsi" w:eastAsia="Times New Roman" w:hAnsiTheme="minorHAnsi" w:cs="Arial"/>
                <w:color w:val="30302E"/>
              </w:rPr>
              <w:t xml:space="preserve">related statutes and Executive Orders; and any agency supplemental standards of ethical conduct and other agency ethics-related regulations and directives. </w:t>
            </w:r>
            <w:r w:rsidR="00A31699">
              <w:rPr>
                <w:rFonts w:asciiTheme="minorHAnsi" w:eastAsia="Times New Roman" w:hAnsiTheme="minorHAnsi" w:cs="Arial"/>
                <w:color w:val="30302E"/>
              </w:rPr>
              <w:t xml:space="preserve"> </w:t>
            </w:r>
            <w:r w:rsidR="00801B1E" w:rsidRPr="005A2B13">
              <w:rPr>
                <w:rFonts w:asciiTheme="minorHAnsi" w:eastAsia="Times New Roman" w:hAnsiTheme="minorHAnsi" w:cs="Arial"/>
                <w:color w:val="30302E"/>
              </w:rPr>
              <w:t>Includ</w:t>
            </w:r>
            <w:r w:rsidR="00801B1E">
              <w:rPr>
                <w:rFonts w:asciiTheme="minorHAnsi" w:eastAsia="Times New Roman" w:hAnsiTheme="minorHAnsi" w:cs="Arial"/>
                <w:color w:val="30302E"/>
              </w:rPr>
              <w:t>es</w:t>
            </w:r>
            <w:r w:rsidR="00FC5C8E" w:rsidRPr="005A2B13">
              <w:rPr>
                <w:rFonts w:asciiTheme="minorHAnsi" w:eastAsia="Times New Roman" w:hAnsiTheme="minorHAnsi" w:cs="Arial"/>
                <w:color w:val="30302E"/>
              </w:rPr>
              <w:t xml:space="preserve">: </w:t>
            </w:r>
          </w:p>
          <w:p w14:paraId="493059D0" w14:textId="77777777" w:rsidR="00FC5C8E" w:rsidRPr="00D91620" w:rsidRDefault="00FC5C8E" w:rsidP="001C206A">
            <w:pPr>
              <w:numPr>
                <w:ilvl w:val="0"/>
                <w:numId w:val="26"/>
              </w:numPr>
              <w:shd w:val="clear" w:color="auto" w:fill="FFFFFF"/>
              <w:spacing w:after="0" w:line="240" w:lineRule="auto"/>
              <w:ind w:left="629" w:hanging="270"/>
              <w:rPr>
                <w:rFonts w:asciiTheme="minorHAnsi" w:eastAsia="Times New Roman" w:hAnsiTheme="minorHAnsi" w:cs="Arial"/>
                <w:color w:val="30302E"/>
              </w:rPr>
            </w:pPr>
            <w:r w:rsidRPr="005A2B13">
              <w:rPr>
                <w:rFonts w:asciiTheme="minorHAnsi" w:eastAsia="Times New Roman" w:hAnsiTheme="minorHAnsi" w:cs="Arial"/>
                <w:color w:val="30302E"/>
              </w:rPr>
              <w:t xml:space="preserve">Records documenting the review of proposed or established ethics-related statutes and regulations by ethics program officials, including copies of proposed legislation, </w:t>
            </w:r>
            <w:r w:rsidRPr="00D91620">
              <w:rPr>
                <w:rFonts w:asciiTheme="minorHAnsi" w:eastAsia="Times New Roman" w:hAnsiTheme="minorHAnsi" w:cs="Arial"/>
                <w:color w:val="30302E"/>
              </w:rPr>
              <w:t xml:space="preserve">comments, and all related records. </w:t>
            </w:r>
          </w:p>
          <w:p w14:paraId="5EF25ED2" w14:textId="77777777" w:rsidR="00FC5C8E" w:rsidRPr="00D91620" w:rsidRDefault="00FC5C8E" w:rsidP="001C206A">
            <w:pPr>
              <w:numPr>
                <w:ilvl w:val="0"/>
                <w:numId w:val="26"/>
              </w:numPr>
              <w:shd w:val="clear" w:color="auto" w:fill="FFFFFF"/>
              <w:spacing w:after="0" w:line="240" w:lineRule="auto"/>
              <w:ind w:left="629" w:hanging="270"/>
              <w:rPr>
                <w:rFonts w:asciiTheme="minorHAnsi" w:eastAsia="Times New Roman" w:hAnsiTheme="minorHAnsi" w:cs="Arial"/>
                <w:color w:val="30302E"/>
              </w:rPr>
            </w:pPr>
            <w:r w:rsidRPr="00D91620">
              <w:rPr>
                <w:rFonts w:asciiTheme="minorHAnsi" w:eastAsia="Times New Roman" w:hAnsiTheme="minorHAnsi" w:cs="Arial"/>
                <w:color w:val="30302E"/>
              </w:rPr>
              <w:t xml:space="preserve">Determinations, including advice and counseling to individual employees, and supporting records. </w:t>
            </w:r>
          </w:p>
          <w:p w14:paraId="132C8B76" w14:textId="77777777" w:rsidR="00A31699" w:rsidRDefault="00FC5C8E" w:rsidP="001C206A">
            <w:pPr>
              <w:pStyle w:val="ListParagraph"/>
              <w:numPr>
                <w:ilvl w:val="0"/>
                <w:numId w:val="27"/>
              </w:numPr>
              <w:spacing w:after="0" w:line="240" w:lineRule="auto"/>
              <w:ind w:left="629" w:hanging="270"/>
              <w:rPr>
                <w:rFonts w:asciiTheme="minorHAnsi" w:eastAsia="Times New Roman" w:hAnsiTheme="minorHAnsi" w:cs="Arial"/>
                <w:color w:val="30302E"/>
              </w:rPr>
            </w:pPr>
            <w:r w:rsidRPr="005A2B13">
              <w:rPr>
                <w:rFonts w:asciiTheme="minorHAnsi" w:eastAsia="Times New Roman" w:hAnsiTheme="minorHAnsi" w:cs="Arial"/>
                <w:color w:val="30302E"/>
              </w:rPr>
              <w:t>Records relating to requests under agency supplemental standards of ethical conduct for prior approval of outside employment and activities.</w:t>
            </w:r>
          </w:p>
          <w:p w14:paraId="2EEEFA4C" w14:textId="77777777" w:rsidR="009710AF" w:rsidRPr="009710AF" w:rsidRDefault="009710AF" w:rsidP="009710AF">
            <w:pPr>
              <w:spacing w:after="0" w:line="240" w:lineRule="auto"/>
              <w:rPr>
                <w:rFonts w:asciiTheme="minorHAnsi" w:eastAsia="Times New Roman" w:hAnsiTheme="minorHAnsi" w:cs="Arial"/>
                <w:color w:val="30302E"/>
              </w:rPr>
            </w:pPr>
          </w:p>
        </w:tc>
        <w:tc>
          <w:tcPr>
            <w:tcW w:w="2970" w:type="dxa"/>
          </w:tcPr>
          <w:p w14:paraId="2104F394" w14:textId="77777777" w:rsidR="00D3209A" w:rsidRPr="00761183" w:rsidRDefault="009E3100" w:rsidP="009E3100">
            <w:pPr>
              <w:spacing w:after="0" w:line="240" w:lineRule="auto"/>
              <w:rPr>
                <w:rFonts w:asciiTheme="minorHAnsi" w:hAnsiTheme="minorHAnsi" w:cstheme="minorHAnsi"/>
              </w:rPr>
            </w:pPr>
            <w:r w:rsidRPr="00A950DB">
              <w:rPr>
                <w:rFonts w:asciiTheme="minorHAnsi" w:hAnsiTheme="minorHAnsi"/>
                <w:b/>
              </w:rPr>
              <w:t>Temporary</w:t>
            </w:r>
            <w:r w:rsidRPr="00A950DB">
              <w:rPr>
                <w:rFonts w:asciiTheme="minorHAnsi" w:hAnsiTheme="minorHAnsi"/>
              </w:rPr>
              <w:t xml:space="preserve">.  </w:t>
            </w:r>
            <w:r w:rsidRPr="009363C5">
              <w:rPr>
                <w:rFonts w:asciiTheme="minorHAnsi" w:hAnsiTheme="minorHAnsi"/>
              </w:rPr>
              <w:t>Destroy 6 years following the conclusion of an ethics regulatory review, provision of advice to an employee</w:t>
            </w:r>
            <w:r w:rsidRPr="009363C5">
              <w:rPr>
                <w:rFonts w:asciiTheme="minorHAnsi" w:hAnsiTheme="minorHAnsi"/>
                <w:b/>
                <w:bCs/>
              </w:rPr>
              <w:t xml:space="preserve">, </w:t>
            </w:r>
            <w:r w:rsidRPr="009363C5">
              <w:rPr>
                <w:rFonts w:asciiTheme="minorHAnsi" w:hAnsiTheme="minorHAnsi"/>
              </w:rPr>
              <w:t>making a determination regarding outside employment</w:t>
            </w:r>
            <w:r w:rsidRPr="009363C5">
              <w:rPr>
                <w:rFonts w:asciiTheme="minorHAnsi" w:hAnsiTheme="minorHAnsi"/>
                <w:b/>
                <w:bCs/>
              </w:rPr>
              <w:t xml:space="preserve"> </w:t>
            </w:r>
            <w:r w:rsidRPr="00DD6A34">
              <w:rPr>
                <w:rFonts w:asciiTheme="minorHAnsi" w:hAnsiTheme="minorHAnsi"/>
                <w:bCs/>
              </w:rPr>
              <w:t>or after such determination</w:t>
            </w:r>
            <w:r w:rsidRPr="00DD6A34">
              <w:rPr>
                <w:rFonts w:asciiTheme="minorHAnsi" w:hAnsiTheme="minorHAnsi"/>
              </w:rPr>
              <w:t xml:space="preserve"> </w:t>
            </w:r>
            <w:r w:rsidRPr="00DD6A34">
              <w:rPr>
                <w:rFonts w:asciiTheme="minorHAnsi" w:hAnsiTheme="minorHAnsi"/>
                <w:bCs/>
              </w:rPr>
              <w:t xml:space="preserve">is no longer in effect or applicable, </w:t>
            </w:r>
            <w:r w:rsidRPr="009363C5">
              <w:rPr>
                <w:rFonts w:asciiTheme="minorHAnsi" w:hAnsiTheme="minorHAnsi"/>
              </w:rPr>
              <w:t>or when no longer needed for an active investigation; whichever is later, but longer retention is authorized if required for business use.</w:t>
            </w:r>
          </w:p>
        </w:tc>
        <w:tc>
          <w:tcPr>
            <w:tcW w:w="1260" w:type="dxa"/>
          </w:tcPr>
          <w:p w14:paraId="5601308F" w14:textId="77777777" w:rsidR="00675640" w:rsidRPr="00761183" w:rsidRDefault="009E3100" w:rsidP="007C6BD5">
            <w:pPr>
              <w:spacing w:after="0" w:line="240" w:lineRule="auto"/>
              <w:rPr>
                <w:rFonts w:asciiTheme="minorHAnsi" w:hAnsiTheme="minorHAnsi" w:cstheme="minorHAnsi"/>
              </w:rPr>
            </w:pPr>
            <w:r>
              <w:rPr>
                <w:rFonts w:asciiTheme="minorHAnsi" w:hAnsiTheme="minorHAnsi"/>
              </w:rPr>
              <w:t>DAA-GRS-2016-0006-0001</w:t>
            </w:r>
          </w:p>
        </w:tc>
      </w:tr>
      <w:tr w:rsidR="00675640" w:rsidRPr="00761183" w14:paraId="38CC6ABD" w14:textId="77777777" w:rsidTr="009710AF">
        <w:tc>
          <w:tcPr>
            <w:tcW w:w="727" w:type="dxa"/>
          </w:tcPr>
          <w:p w14:paraId="443CD56B" w14:textId="77777777" w:rsidR="00675640" w:rsidRPr="008E1476" w:rsidRDefault="00675640" w:rsidP="007C6BD5">
            <w:pPr>
              <w:spacing w:after="0" w:line="240" w:lineRule="auto"/>
              <w:jc w:val="center"/>
              <w:rPr>
                <w:rFonts w:asciiTheme="minorHAnsi" w:hAnsiTheme="minorHAnsi" w:cs="TimesNewRomanPSMT"/>
                <w:color w:val="000000"/>
              </w:rPr>
            </w:pPr>
            <w:r>
              <w:rPr>
                <w:rFonts w:asciiTheme="minorHAnsi" w:hAnsiTheme="minorHAnsi" w:cs="TimesNewRomanPSMT"/>
                <w:color w:val="000000"/>
              </w:rPr>
              <w:t>020</w:t>
            </w:r>
          </w:p>
        </w:tc>
        <w:tc>
          <w:tcPr>
            <w:tcW w:w="9450" w:type="dxa"/>
            <w:gridSpan w:val="4"/>
          </w:tcPr>
          <w:p w14:paraId="6CD43B51" w14:textId="77777777" w:rsidR="00675640" w:rsidRDefault="001E1571" w:rsidP="007C6BD5">
            <w:pPr>
              <w:autoSpaceDE w:val="0"/>
              <w:autoSpaceDN w:val="0"/>
              <w:adjustRightInd w:val="0"/>
              <w:spacing w:after="0" w:line="240" w:lineRule="auto"/>
              <w:rPr>
                <w:rFonts w:asciiTheme="minorHAnsi" w:hAnsiTheme="minorHAnsi"/>
              </w:rPr>
            </w:pPr>
            <w:r>
              <w:rPr>
                <w:rFonts w:asciiTheme="minorHAnsi" w:hAnsiTheme="minorHAnsi"/>
                <w:b/>
                <w:bCs/>
              </w:rPr>
              <w:t>Referrals and notifications of v</w:t>
            </w:r>
            <w:r w:rsidR="00675640" w:rsidRPr="001C775E">
              <w:rPr>
                <w:rFonts w:asciiTheme="minorHAnsi" w:hAnsiTheme="minorHAnsi"/>
                <w:b/>
                <w:bCs/>
              </w:rPr>
              <w:t xml:space="preserve">iolations </w:t>
            </w:r>
            <w:r w:rsidR="00675640" w:rsidRPr="00380519">
              <w:rPr>
                <w:rFonts w:asciiTheme="minorHAnsi" w:hAnsiTheme="minorHAnsi"/>
                <w:b/>
                <w:bCs/>
              </w:rPr>
              <w:t xml:space="preserve">of </w:t>
            </w:r>
            <w:r w:rsidR="00380519" w:rsidRPr="00380519">
              <w:rPr>
                <w:rFonts w:asciiTheme="minorHAnsi" w:hAnsiTheme="minorHAnsi"/>
                <w:b/>
                <w:bCs/>
              </w:rPr>
              <w:t>criminal c</w:t>
            </w:r>
            <w:r w:rsidR="00675640" w:rsidRPr="00380519">
              <w:rPr>
                <w:rFonts w:asciiTheme="minorHAnsi" w:hAnsiTheme="minorHAnsi"/>
                <w:b/>
                <w:bCs/>
              </w:rPr>
              <w:t>on</w:t>
            </w:r>
            <w:r w:rsidR="00380519" w:rsidRPr="00380519">
              <w:rPr>
                <w:rFonts w:asciiTheme="minorHAnsi" w:hAnsiTheme="minorHAnsi"/>
                <w:b/>
                <w:bCs/>
              </w:rPr>
              <w:t>flict of interest s</w:t>
            </w:r>
            <w:r w:rsidRPr="00380519">
              <w:rPr>
                <w:rFonts w:asciiTheme="minorHAnsi" w:hAnsiTheme="minorHAnsi"/>
                <w:b/>
                <w:bCs/>
              </w:rPr>
              <w:t>tatutes</w:t>
            </w:r>
            <w:r>
              <w:rPr>
                <w:rFonts w:asciiTheme="minorHAnsi" w:hAnsiTheme="minorHAnsi"/>
                <w:b/>
                <w:bCs/>
              </w:rPr>
              <w:t xml:space="preserve"> and o</w:t>
            </w:r>
            <w:r w:rsidR="00675640" w:rsidRPr="001C775E">
              <w:rPr>
                <w:rFonts w:asciiTheme="minorHAnsi" w:hAnsiTheme="minorHAnsi"/>
                <w:b/>
                <w:bCs/>
              </w:rPr>
              <w:t xml:space="preserve">ther </w:t>
            </w:r>
            <w:r>
              <w:rPr>
                <w:rFonts w:asciiTheme="minorHAnsi" w:hAnsiTheme="minorHAnsi"/>
                <w:b/>
                <w:bCs/>
              </w:rPr>
              <w:t>potential violations f</w:t>
            </w:r>
            <w:r w:rsidR="00675640" w:rsidRPr="001C775E">
              <w:rPr>
                <w:rFonts w:asciiTheme="minorHAnsi" w:hAnsiTheme="minorHAnsi"/>
                <w:b/>
                <w:bCs/>
              </w:rPr>
              <w:t>iles</w:t>
            </w:r>
            <w:r w:rsidR="00675640" w:rsidRPr="001C775E">
              <w:rPr>
                <w:rFonts w:asciiTheme="minorHAnsi" w:hAnsiTheme="minorHAnsi"/>
              </w:rPr>
              <w:t>.</w:t>
            </w:r>
          </w:p>
          <w:p w14:paraId="24F47D47" w14:textId="77777777" w:rsidR="00675640" w:rsidRPr="007C2B04" w:rsidRDefault="00675640" w:rsidP="001C206A">
            <w:pPr>
              <w:spacing w:after="0" w:line="240" w:lineRule="auto"/>
              <w:ind w:left="360"/>
              <w:rPr>
                <w:rFonts w:asciiTheme="minorHAnsi" w:hAnsiTheme="minorHAnsi" w:cstheme="minorHAnsi"/>
              </w:rPr>
            </w:pPr>
            <w:r w:rsidRPr="008A189B">
              <w:rPr>
                <w:rFonts w:asciiTheme="minorHAnsi" w:hAnsiTheme="minorHAnsi"/>
              </w:rPr>
              <w:t xml:space="preserve">Referrals to Inspectors General or the Department of Justice concerning ethics violations or suspected violations. This item also covers related background materials, including copies of disciplinary and corrective actions and disposition documents such </w:t>
            </w:r>
            <w:r>
              <w:rPr>
                <w:rFonts w:asciiTheme="minorHAnsi" w:hAnsiTheme="minorHAnsi"/>
              </w:rPr>
              <w:t xml:space="preserve">as declinations of prosecution, </w:t>
            </w:r>
            <w:r w:rsidRPr="008A189B">
              <w:rPr>
                <w:rFonts w:asciiTheme="minorHAnsi" w:hAnsiTheme="minorHAnsi"/>
              </w:rPr>
              <w:lastRenderedPageBreak/>
              <w:t xml:space="preserve">and copies of OGE Form </w:t>
            </w:r>
            <w:r w:rsidRPr="00955265">
              <w:rPr>
                <w:rFonts w:asciiTheme="minorHAnsi" w:hAnsiTheme="minorHAnsi"/>
              </w:rPr>
              <w:t>202</w:t>
            </w:r>
            <w:r>
              <w:rPr>
                <w:rFonts w:asciiTheme="minorHAnsi" w:hAnsiTheme="minorHAnsi"/>
              </w:rPr>
              <w:t xml:space="preserve">, </w:t>
            </w:r>
            <w:r w:rsidRPr="00955265">
              <w:rPr>
                <w:rFonts w:asciiTheme="minorHAnsi" w:hAnsiTheme="minorHAnsi"/>
                <w:i/>
              </w:rPr>
              <w:t>Notification of Conflict of Interest Referral</w:t>
            </w:r>
            <w:r w:rsidRPr="00955265">
              <w:rPr>
                <w:rFonts w:asciiTheme="minorHAnsi" w:hAnsiTheme="minorHAnsi"/>
              </w:rPr>
              <w:t>.</w:t>
            </w:r>
          </w:p>
        </w:tc>
        <w:tc>
          <w:tcPr>
            <w:tcW w:w="2970" w:type="dxa"/>
          </w:tcPr>
          <w:p w14:paraId="5276C12B" w14:textId="77777777" w:rsidR="001D0D49" w:rsidRPr="001D0D49" w:rsidRDefault="00675640" w:rsidP="00EE3749">
            <w:pPr>
              <w:spacing w:after="0" w:line="240" w:lineRule="auto"/>
              <w:rPr>
                <w:rFonts w:asciiTheme="minorHAnsi" w:hAnsiTheme="minorHAnsi"/>
              </w:rPr>
            </w:pPr>
            <w:r w:rsidRPr="00C12CC0">
              <w:rPr>
                <w:b/>
              </w:rPr>
              <w:lastRenderedPageBreak/>
              <w:t>Temporary.</w:t>
            </w:r>
            <w:r w:rsidRPr="008A189B">
              <w:t xml:space="preserve"> </w:t>
            </w:r>
            <w:r w:rsidR="00A31699">
              <w:t xml:space="preserve"> </w:t>
            </w:r>
            <w:r w:rsidR="001D0D49" w:rsidRPr="00AA411E">
              <w:rPr>
                <w:rFonts w:asciiTheme="minorHAnsi" w:hAnsiTheme="minorHAnsi"/>
              </w:rPr>
              <w:t>Destroy</w:t>
            </w:r>
            <w:r w:rsidR="00EE3749">
              <w:rPr>
                <w:rFonts w:asciiTheme="minorHAnsi" w:hAnsiTheme="minorHAnsi"/>
              </w:rPr>
              <w:t xml:space="preserve"> </w:t>
            </w:r>
            <w:r w:rsidR="001D0D49" w:rsidRPr="00AA411E">
              <w:rPr>
                <w:rFonts w:asciiTheme="minorHAnsi" w:hAnsiTheme="minorHAnsi"/>
              </w:rPr>
              <w:t xml:space="preserve">6 </w:t>
            </w:r>
            <w:r w:rsidR="001D0D49" w:rsidRPr="00EE3749">
              <w:rPr>
                <w:rFonts w:asciiTheme="minorHAnsi" w:hAnsiTheme="minorHAnsi"/>
              </w:rPr>
              <w:t xml:space="preserve">years after final disposition of the referral to either the IG or DOJ, but longer retention is authorized if required for </w:t>
            </w:r>
            <w:r w:rsidR="001D0D49" w:rsidRPr="00EE3749">
              <w:rPr>
                <w:rFonts w:asciiTheme="minorHAnsi" w:hAnsiTheme="minorHAnsi"/>
              </w:rPr>
              <w:lastRenderedPageBreak/>
              <w:t>business use.</w:t>
            </w:r>
          </w:p>
        </w:tc>
        <w:tc>
          <w:tcPr>
            <w:tcW w:w="1260" w:type="dxa"/>
          </w:tcPr>
          <w:p w14:paraId="30DD6730" w14:textId="77777777" w:rsidR="00675640" w:rsidRPr="00761183" w:rsidRDefault="00B429AE" w:rsidP="007C6BD5">
            <w:pPr>
              <w:spacing w:after="0" w:line="240" w:lineRule="auto"/>
              <w:rPr>
                <w:rFonts w:asciiTheme="minorHAnsi" w:hAnsiTheme="minorHAnsi" w:cstheme="minorHAnsi"/>
              </w:rPr>
            </w:pPr>
            <w:r w:rsidRPr="00B429AE">
              <w:rPr>
                <w:rFonts w:asciiTheme="minorHAnsi" w:hAnsiTheme="minorHAnsi" w:cstheme="minorHAnsi"/>
              </w:rPr>
              <w:lastRenderedPageBreak/>
              <w:t>DAA-GRS-2014-0005-0002</w:t>
            </w:r>
          </w:p>
        </w:tc>
      </w:tr>
      <w:tr w:rsidR="00675640" w:rsidRPr="00761183" w14:paraId="78B08E62" w14:textId="77777777" w:rsidTr="009710AF">
        <w:tc>
          <w:tcPr>
            <w:tcW w:w="727" w:type="dxa"/>
          </w:tcPr>
          <w:p w14:paraId="1527A762" w14:textId="77777777" w:rsidR="00675640" w:rsidRPr="008E1476" w:rsidRDefault="00675640" w:rsidP="007C6BD5">
            <w:pPr>
              <w:spacing w:after="0" w:line="240" w:lineRule="auto"/>
              <w:jc w:val="center"/>
              <w:rPr>
                <w:rFonts w:asciiTheme="minorHAnsi" w:hAnsiTheme="minorHAnsi"/>
              </w:rPr>
            </w:pPr>
            <w:r>
              <w:rPr>
                <w:rFonts w:asciiTheme="minorHAnsi" w:hAnsiTheme="minorHAnsi"/>
              </w:rPr>
              <w:t>030</w:t>
            </w:r>
          </w:p>
        </w:tc>
        <w:tc>
          <w:tcPr>
            <w:tcW w:w="2070" w:type="dxa"/>
            <w:vMerge w:val="restart"/>
          </w:tcPr>
          <w:p w14:paraId="2D4D2276" w14:textId="77777777" w:rsidR="00AE65E5" w:rsidRPr="00B30A6D" w:rsidRDefault="00B30A6D" w:rsidP="001C206A">
            <w:pPr>
              <w:spacing w:after="0" w:line="240" w:lineRule="auto"/>
              <w:ind w:firstLine="7"/>
              <w:rPr>
                <w:rFonts w:asciiTheme="minorHAnsi" w:hAnsiTheme="minorHAnsi"/>
                <w:b/>
              </w:rPr>
            </w:pPr>
            <w:r>
              <w:rPr>
                <w:rFonts w:asciiTheme="minorHAnsi" w:hAnsiTheme="minorHAnsi"/>
                <w:b/>
              </w:rPr>
              <w:t>Report</w:t>
            </w:r>
            <w:r w:rsidR="00724D10">
              <w:rPr>
                <w:rFonts w:asciiTheme="minorHAnsi" w:hAnsiTheme="minorHAnsi"/>
                <w:b/>
              </w:rPr>
              <w:t>s</w:t>
            </w:r>
            <w:r>
              <w:rPr>
                <w:rFonts w:asciiTheme="minorHAnsi" w:hAnsiTheme="minorHAnsi"/>
                <w:b/>
              </w:rPr>
              <w:t xml:space="preserve"> of </w:t>
            </w:r>
            <w:r w:rsidR="00724D10">
              <w:rPr>
                <w:rFonts w:asciiTheme="minorHAnsi" w:hAnsiTheme="minorHAnsi"/>
                <w:b/>
              </w:rPr>
              <w:t>p</w:t>
            </w:r>
            <w:r>
              <w:rPr>
                <w:rFonts w:asciiTheme="minorHAnsi" w:hAnsiTheme="minorHAnsi"/>
                <w:b/>
              </w:rPr>
              <w:t>ayments</w:t>
            </w:r>
            <w:r w:rsidR="00724D10">
              <w:rPr>
                <w:rFonts w:asciiTheme="minorHAnsi" w:hAnsiTheme="minorHAnsi"/>
                <w:b/>
              </w:rPr>
              <w:t xml:space="preserve"> accepted from n</w:t>
            </w:r>
            <w:r>
              <w:rPr>
                <w:rFonts w:asciiTheme="minorHAnsi" w:hAnsiTheme="minorHAnsi"/>
                <w:b/>
              </w:rPr>
              <w:t xml:space="preserve">on-Federal </w:t>
            </w:r>
            <w:r w:rsidR="00724D10">
              <w:rPr>
                <w:rFonts w:asciiTheme="minorHAnsi" w:hAnsiTheme="minorHAnsi"/>
                <w:b/>
              </w:rPr>
              <w:t>s</w:t>
            </w:r>
            <w:r>
              <w:rPr>
                <w:rFonts w:asciiTheme="minorHAnsi" w:hAnsiTheme="minorHAnsi"/>
                <w:b/>
              </w:rPr>
              <w:t>ource</w:t>
            </w:r>
            <w:r w:rsidR="00724D10">
              <w:rPr>
                <w:rFonts w:asciiTheme="minorHAnsi" w:hAnsiTheme="minorHAnsi"/>
                <w:b/>
              </w:rPr>
              <w:t>s</w:t>
            </w:r>
            <w:r w:rsidR="00DF6AE5">
              <w:rPr>
                <w:rFonts w:asciiTheme="minorHAnsi" w:hAnsiTheme="minorHAnsi"/>
                <w:b/>
              </w:rPr>
              <w:t>.</w:t>
            </w:r>
          </w:p>
        </w:tc>
        <w:tc>
          <w:tcPr>
            <w:tcW w:w="7380" w:type="dxa"/>
            <w:gridSpan w:val="3"/>
          </w:tcPr>
          <w:p w14:paraId="032FC3C4" w14:textId="77777777" w:rsidR="00675640" w:rsidRPr="00006F50" w:rsidRDefault="001F4B6A" w:rsidP="00A31699">
            <w:pPr>
              <w:tabs>
                <w:tab w:val="left" w:pos="0"/>
              </w:tabs>
              <w:spacing w:after="0" w:line="240" w:lineRule="auto"/>
              <w:ind w:left="87" w:hanging="22"/>
              <w:rPr>
                <w:rFonts w:asciiTheme="minorHAnsi" w:hAnsiTheme="minorHAnsi"/>
                <w:b/>
              </w:rPr>
            </w:pPr>
            <w:r>
              <w:rPr>
                <w:rFonts w:asciiTheme="minorHAnsi" w:hAnsiTheme="minorHAnsi"/>
                <w:b/>
              </w:rPr>
              <w:t>Agency r</w:t>
            </w:r>
            <w:r w:rsidR="00675640" w:rsidRPr="00006F50">
              <w:rPr>
                <w:rFonts w:asciiTheme="minorHAnsi" w:hAnsiTheme="minorHAnsi"/>
                <w:b/>
              </w:rPr>
              <w:t>eports</w:t>
            </w:r>
            <w:r>
              <w:rPr>
                <w:rFonts w:asciiTheme="minorHAnsi" w:hAnsiTheme="minorHAnsi"/>
                <w:b/>
              </w:rPr>
              <w:t>.</w:t>
            </w:r>
          </w:p>
          <w:p w14:paraId="5A75E0D6" w14:textId="77777777" w:rsidR="00675640" w:rsidRDefault="00724D10" w:rsidP="001C206A">
            <w:pPr>
              <w:spacing w:after="0" w:line="240" w:lineRule="auto"/>
              <w:ind w:left="331"/>
              <w:rPr>
                <w:rFonts w:asciiTheme="minorHAnsi" w:hAnsiTheme="minorHAnsi" w:cstheme="minorHAnsi"/>
              </w:rPr>
            </w:pPr>
            <w:r>
              <w:rPr>
                <w:rFonts w:asciiTheme="minorHAnsi" w:hAnsiTheme="minorHAnsi"/>
              </w:rPr>
              <w:t xml:space="preserve">Reports, including the </w:t>
            </w:r>
            <w:r w:rsidRPr="00724D10">
              <w:rPr>
                <w:rFonts w:asciiTheme="minorHAnsi" w:hAnsiTheme="minorHAnsi"/>
              </w:rPr>
              <w:t>“Semiannual Report of Payments Accepted from a Non-Federal Source,”</w:t>
            </w:r>
            <w:r w:rsidRPr="001F395E">
              <w:rPr>
                <w:rFonts w:asciiTheme="minorHAnsi" w:hAnsiTheme="minorHAnsi"/>
              </w:rPr>
              <w:t xml:space="preserve"> </w:t>
            </w:r>
            <w:r w:rsidR="00675640" w:rsidRPr="001F395E">
              <w:rPr>
                <w:rFonts w:asciiTheme="minorHAnsi" w:hAnsiTheme="minorHAnsi"/>
              </w:rPr>
              <w:t xml:space="preserve">submitted </w:t>
            </w:r>
            <w:r w:rsidR="00675640">
              <w:rPr>
                <w:rFonts w:asciiTheme="minorHAnsi" w:hAnsiTheme="minorHAnsi"/>
              </w:rPr>
              <w:t xml:space="preserve">by agencies </w:t>
            </w:r>
            <w:r w:rsidR="00675640" w:rsidRPr="001F395E">
              <w:rPr>
                <w:rFonts w:asciiTheme="minorHAnsi" w:hAnsiTheme="minorHAnsi"/>
              </w:rPr>
              <w:t xml:space="preserve">to the Office of Government </w:t>
            </w:r>
            <w:r w:rsidR="00675640" w:rsidRPr="00FD74A8">
              <w:rPr>
                <w:rFonts w:asciiTheme="minorHAnsi" w:hAnsiTheme="minorHAnsi"/>
              </w:rPr>
              <w:t>Ethics</w:t>
            </w:r>
            <w:r w:rsidR="00675640">
              <w:rPr>
                <w:rFonts w:asciiTheme="minorHAnsi" w:hAnsiTheme="minorHAnsi"/>
              </w:rPr>
              <w:t xml:space="preserve"> </w:t>
            </w:r>
            <w:r w:rsidR="00675640" w:rsidRPr="00FD74A8">
              <w:rPr>
                <w:rFonts w:asciiTheme="minorHAnsi" w:hAnsiTheme="minorHAnsi"/>
              </w:rPr>
              <w:t>and</w:t>
            </w:r>
            <w:r w:rsidR="00675640" w:rsidRPr="00165B5A">
              <w:rPr>
                <w:rFonts w:asciiTheme="minorHAnsi" w:hAnsiTheme="minorHAnsi"/>
              </w:rPr>
              <w:t xml:space="preserve"> reported on the OGE Form 1353</w:t>
            </w:r>
            <w:r w:rsidR="00675640">
              <w:rPr>
                <w:rFonts w:asciiTheme="minorHAnsi" w:hAnsiTheme="minorHAnsi"/>
              </w:rPr>
              <w:t xml:space="preserve"> (SF 326)</w:t>
            </w:r>
            <w:r w:rsidR="00675640" w:rsidRPr="00165B5A">
              <w:rPr>
                <w:rFonts w:asciiTheme="minorHAnsi" w:hAnsiTheme="minorHAnsi"/>
              </w:rPr>
              <w:t>.  Reports summarize payments made to the agency from non-Federal sources for travel, subsistence, and related expenses of an employee who attends a meeting or similar function relating to official duties.</w:t>
            </w:r>
            <w:r w:rsidR="00675640">
              <w:rPr>
                <w:rFonts w:asciiTheme="minorHAnsi" w:hAnsiTheme="minorHAnsi" w:cstheme="minorHAnsi"/>
              </w:rPr>
              <w:t xml:space="preserve"> </w:t>
            </w:r>
          </w:p>
          <w:p w14:paraId="773F5924" w14:textId="77777777" w:rsidR="009710AF" w:rsidRPr="0084738D" w:rsidRDefault="009710AF" w:rsidP="009E3100">
            <w:pPr>
              <w:tabs>
                <w:tab w:val="left" w:pos="-1080"/>
                <w:tab w:val="left" w:pos="-720"/>
                <w:tab w:val="left" w:pos="720"/>
                <w:tab w:val="left" w:pos="1080"/>
                <w:tab w:val="left" w:pos="1440"/>
                <w:tab w:val="left" w:pos="3574"/>
                <w:tab w:val="left" w:pos="3600"/>
              </w:tabs>
              <w:spacing w:after="0" w:line="240" w:lineRule="auto"/>
              <w:rPr>
                <w:rFonts w:asciiTheme="minorHAnsi" w:hAnsiTheme="minorHAnsi"/>
                <w:i/>
              </w:rPr>
            </w:pPr>
          </w:p>
        </w:tc>
        <w:tc>
          <w:tcPr>
            <w:tcW w:w="2970" w:type="dxa"/>
          </w:tcPr>
          <w:p w14:paraId="544BC465" w14:textId="77777777" w:rsidR="00176C80" w:rsidRPr="00176C80" w:rsidRDefault="00675640" w:rsidP="007C6BD5">
            <w:pPr>
              <w:spacing w:after="0" w:line="240" w:lineRule="auto"/>
              <w:rPr>
                <w:rFonts w:asciiTheme="minorHAnsi" w:hAnsiTheme="minorHAnsi"/>
              </w:rPr>
            </w:pPr>
            <w:r w:rsidRPr="00B16681">
              <w:rPr>
                <w:b/>
              </w:rPr>
              <w:t>Temporary</w:t>
            </w:r>
            <w:r w:rsidRPr="000A5E62">
              <w:rPr>
                <w:b/>
              </w:rPr>
              <w:t>.</w:t>
            </w:r>
            <w:r w:rsidRPr="000A5E62">
              <w:t xml:space="preserve"> </w:t>
            </w:r>
            <w:r w:rsidR="00A31699">
              <w:t xml:space="preserve"> </w:t>
            </w:r>
            <w:r w:rsidR="00176C80" w:rsidRPr="00AA411E">
              <w:rPr>
                <w:rFonts w:asciiTheme="minorHAnsi" w:hAnsiTheme="minorHAnsi"/>
              </w:rPr>
              <w:t>Destroy 3 years</w:t>
            </w:r>
            <w:r w:rsidR="006E4A3D">
              <w:rPr>
                <w:rFonts w:asciiTheme="minorHAnsi" w:hAnsiTheme="minorHAnsi"/>
              </w:rPr>
              <w:t xml:space="preserve"> </w:t>
            </w:r>
            <w:r w:rsidR="00176C80" w:rsidRPr="006E4A3D">
              <w:rPr>
                <w:rFonts w:asciiTheme="minorHAnsi" w:hAnsiTheme="minorHAnsi"/>
              </w:rPr>
              <w:t>following submission of the report to OGE,</w:t>
            </w:r>
            <w:r w:rsidR="00176C80" w:rsidRPr="006E4A3D">
              <w:rPr>
                <w:rFonts w:asciiTheme="minorHAnsi" w:hAnsiTheme="minorHAnsi"/>
                <w:b/>
              </w:rPr>
              <w:t xml:space="preserve"> </w:t>
            </w:r>
            <w:r w:rsidR="00176C80" w:rsidRPr="006E4A3D">
              <w:rPr>
                <w:rFonts w:asciiTheme="minorHAnsi" w:hAnsiTheme="minorHAnsi"/>
              </w:rPr>
              <w:t>but longer retention is authorized if required for business use.</w:t>
            </w:r>
          </w:p>
        </w:tc>
        <w:tc>
          <w:tcPr>
            <w:tcW w:w="1260" w:type="dxa"/>
          </w:tcPr>
          <w:p w14:paraId="79BA3C84" w14:textId="77777777" w:rsidR="00675640" w:rsidRPr="00675640" w:rsidRDefault="00B429AE" w:rsidP="007C6BD5">
            <w:pPr>
              <w:spacing w:after="0" w:line="240" w:lineRule="auto"/>
              <w:rPr>
                <w:rFonts w:asciiTheme="minorHAnsi" w:hAnsiTheme="minorHAnsi" w:cstheme="minorHAnsi"/>
              </w:rPr>
            </w:pPr>
            <w:r w:rsidRPr="00B429AE">
              <w:rPr>
                <w:rFonts w:asciiTheme="minorHAnsi" w:hAnsiTheme="minorHAnsi" w:cstheme="minorHAnsi"/>
              </w:rPr>
              <w:t>DAA-GRS-2014-0005-0003</w:t>
            </w:r>
          </w:p>
        </w:tc>
      </w:tr>
      <w:tr w:rsidR="00675640" w:rsidRPr="00761183" w14:paraId="0199AAB6" w14:textId="77777777" w:rsidTr="009710AF">
        <w:trPr>
          <w:trHeight w:val="1387"/>
        </w:trPr>
        <w:tc>
          <w:tcPr>
            <w:tcW w:w="727" w:type="dxa"/>
          </w:tcPr>
          <w:p w14:paraId="28533E50" w14:textId="77777777" w:rsidR="00675640" w:rsidRPr="008E1476" w:rsidRDefault="00675640" w:rsidP="007C6BD5">
            <w:pPr>
              <w:spacing w:after="0" w:line="240" w:lineRule="auto"/>
              <w:jc w:val="center"/>
              <w:rPr>
                <w:rFonts w:asciiTheme="minorHAnsi" w:hAnsiTheme="minorHAnsi"/>
              </w:rPr>
            </w:pPr>
            <w:r>
              <w:rPr>
                <w:rFonts w:asciiTheme="minorHAnsi" w:hAnsiTheme="minorHAnsi"/>
              </w:rPr>
              <w:t>031</w:t>
            </w:r>
          </w:p>
        </w:tc>
        <w:tc>
          <w:tcPr>
            <w:tcW w:w="2070" w:type="dxa"/>
            <w:vMerge/>
          </w:tcPr>
          <w:p w14:paraId="1C8A4E85" w14:textId="77777777" w:rsidR="00675640" w:rsidRPr="007B0D8C" w:rsidRDefault="00675640" w:rsidP="007C6BD5">
            <w:pPr>
              <w:autoSpaceDE w:val="0"/>
              <w:autoSpaceDN w:val="0"/>
              <w:adjustRightInd w:val="0"/>
              <w:spacing w:after="0" w:line="240" w:lineRule="auto"/>
              <w:rPr>
                <w:rFonts w:asciiTheme="minorHAnsi" w:hAnsiTheme="minorHAnsi"/>
              </w:rPr>
            </w:pPr>
          </w:p>
        </w:tc>
        <w:tc>
          <w:tcPr>
            <w:tcW w:w="7380" w:type="dxa"/>
            <w:gridSpan w:val="3"/>
          </w:tcPr>
          <w:p w14:paraId="00F2F46D" w14:textId="77777777" w:rsidR="00675640" w:rsidRDefault="00D279B0" w:rsidP="007C6BD5">
            <w:pPr>
              <w:autoSpaceDE w:val="0"/>
              <w:autoSpaceDN w:val="0"/>
              <w:adjustRightInd w:val="0"/>
              <w:spacing w:after="0" w:line="240" w:lineRule="auto"/>
              <w:rPr>
                <w:rFonts w:asciiTheme="minorHAnsi" w:hAnsiTheme="minorHAnsi"/>
                <w:b/>
              </w:rPr>
            </w:pPr>
            <w:r>
              <w:rPr>
                <w:rFonts w:asciiTheme="minorHAnsi" w:hAnsiTheme="minorHAnsi"/>
                <w:b/>
              </w:rPr>
              <w:t>Supporting d</w:t>
            </w:r>
            <w:r w:rsidR="00675640">
              <w:rPr>
                <w:rFonts w:asciiTheme="minorHAnsi" w:hAnsiTheme="minorHAnsi"/>
                <w:b/>
              </w:rPr>
              <w:t>ocumentation</w:t>
            </w:r>
            <w:r>
              <w:rPr>
                <w:rFonts w:asciiTheme="minorHAnsi" w:hAnsiTheme="minorHAnsi"/>
                <w:b/>
              </w:rPr>
              <w:t>.</w:t>
            </w:r>
          </w:p>
          <w:p w14:paraId="03979E3E" w14:textId="77777777" w:rsidR="00675640" w:rsidRPr="001D7699" w:rsidRDefault="00675640" w:rsidP="00A31699">
            <w:pPr>
              <w:autoSpaceDE w:val="0"/>
              <w:autoSpaceDN w:val="0"/>
              <w:adjustRightInd w:val="0"/>
              <w:spacing w:after="0" w:line="240" w:lineRule="auto"/>
              <w:ind w:left="334"/>
              <w:rPr>
                <w:rFonts w:asciiTheme="minorHAnsi" w:hAnsiTheme="minorHAnsi"/>
              </w:rPr>
            </w:pPr>
            <w:r>
              <w:rPr>
                <w:rFonts w:asciiTheme="minorHAnsi" w:hAnsiTheme="minorHAnsi"/>
              </w:rPr>
              <w:t>Documentation, such as statements and forms, used to complete the submitted reports.</w:t>
            </w:r>
          </w:p>
        </w:tc>
        <w:tc>
          <w:tcPr>
            <w:tcW w:w="2970" w:type="dxa"/>
          </w:tcPr>
          <w:p w14:paraId="6A9E5D2E" w14:textId="77777777" w:rsidR="00D2161D" w:rsidRDefault="00675640" w:rsidP="00CD16F1">
            <w:pPr>
              <w:spacing w:after="0" w:line="240" w:lineRule="auto"/>
              <w:rPr>
                <w:rFonts w:asciiTheme="minorHAnsi" w:hAnsiTheme="minorHAnsi"/>
              </w:rPr>
            </w:pPr>
            <w:r w:rsidRPr="00F9128E">
              <w:rPr>
                <w:b/>
              </w:rPr>
              <w:t>Temporary.</w:t>
            </w:r>
            <w:r w:rsidRPr="00F9128E">
              <w:t xml:space="preserve"> </w:t>
            </w:r>
            <w:r w:rsidR="00A31699">
              <w:t xml:space="preserve"> </w:t>
            </w:r>
            <w:r w:rsidR="00D2161D" w:rsidRPr="00F9128E">
              <w:rPr>
                <w:rFonts w:asciiTheme="minorHAnsi" w:hAnsiTheme="minorHAnsi"/>
              </w:rPr>
              <w:t>Destroy 1 year following submission of the report to OGE</w:t>
            </w:r>
            <w:r w:rsidR="00A502B0" w:rsidRPr="00F9128E">
              <w:rPr>
                <w:rFonts w:asciiTheme="minorHAnsi" w:hAnsiTheme="minorHAnsi"/>
              </w:rPr>
              <w:t>,</w:t>
            </w:r>
            <w:r w:rsidR="00A502B0" w:rsidRPr="00F9128E">
              <w:rPr>
                <w:rFonts w:asciiTheme="minorHAnsi" w:hAnsiTheme="minorHAnsi"/>
                <w:b/>
              </w:rPr>
              <w:t xml:space="preserve"> </w:t>
            </w:r>
            <w:r w:rsidR="00A502B0" w:rsidRPr="00F9128E">
              <w:rPr>
                <w:rFonts w:asciiTheme="minorHAnsi" w:hAnsiTheme="minorHAnsi"/>
              </w:rPr>
              <w:t>but longer retention is authorized if required for business use</w:t>
            </w:r>
            <w:r w:rsidR="00D2161D" w:rsidRPr="00F9128E">
              <w:rPr>
                <w:rFonts w:asciiTheme="minorHAnsi" w:hAnsiTheme="minorHAnsi"/>
              </w:rPr>
              <w:t>.</w:t>
            </w:r>
          </w:p>
          <w:p w14:paraId="58699CF0" w14:textId="77777777" w:rsidR="009710AF" w:rsidRPr="00F9128E" w:rsidRDefault="009710AF" w:rsidP="00CD16F1">
            <w:pPr>
              <w:spacing w:after="0" w:line="240" w:lineRule="auto"/>
              <w:rPr>
                <w:iCs/>
              </w:rPr>
            </w:pPr>
          </w:p>
        </w:tc>
        <w:tc>
          <w:tcPr>
            <w:tcW w:w="1260" w:type="dxa"/>
          </w:tcPr>
          <w:p w14:paraId="66B67B00" w14:textId="77777777" w:rsidR="00675640" w:rsidRPr="00761183" w:rsidRDefault="00B429AE" w:rsidP="007C6BD5">
            <w:pPr>
              <w:spacing w:after="0" w:line="240" w:lineRule="auto"/>
              <w:rPr>
                <w:rFonts w:asciiTheme="minorHAnsi" w:hAnsiTheme="minorHAnsi" w:cstheme="minorHAnsi"/>
              </w:rPr>
            </w:pPr>
            <w:r w:rsidRPr="00B429AE">
              <w:rPr>
                <w:rFonts w:asciiTheme="minorHAnsi" w:hAnsiTheme="minorHAnsi" w:cstheme="minorHAnsi"/>
              </w:rPr>
              <w:t>DAA-GRS-2014-0005-0004</w:t>
            </w:r>
          </w:p>
        </w:tc>
      </w:tr>
      <w:tr w:rsidR="00675640" w:rsidRPr="00761183" w14:paraId="475803DE" w14:textId="77777777" w:rsidTr="009710AF">
        <w:tc>
          <w:tcPr>
            <w:tcW w:w="727" w:type="dxa"/>
          </w:tcPr>
          <w:p w14:paraId="7F36B752" w14:textId="77777777" w:rsidR="00675640" w:rsidRDefault="00675640" w:rsidP="007C6BD5">
            <w:pPr>
              <w:spacing w:after="0" w:line="240" w:lineRule="auto"/>
              <w:jc w:val="center"/>
              <w:rPr>
                <w:rFonts w:asciiTheme="minorHAnsi" w:hAnsiTheme="minorHAnsi"/>
              </w:rPr>
            </w:pPr>
            <w:r>
              <w:rPr>
                <w:rFonts w:asciiTheme="minorHAnsi" w:hAnsiTheme="minorHAnsi"/>
              </w:rPr>
              <w:t>040</w:t>
            </w:r>
          </w:p>
        </w:tc>
        <w:tc>
          <w:tcPr>
            <w:tcW w:w="9450" w:type="dxa"/>
            <w:gridSpan w:val="4"/>
          </w:tcPr>
          <w:p w14:paraId="7123AF43" w14:textId="77777777" w:rsidR="00675640" w:rsidRDefault="00675640" w:rsidP="007C6BD5">
            <w:pPr>
              <w:autoSpaceDE w:val="0"/>
              <w:autoSpaceDN w:val="0"/>
              <w:adjustRightInd w:val="0"/>
              <w:spacing w:after="0" w:line="240" w:lineRule="auto"/>
              <w:rPr>
                <w:rFonts w:asciiTheme="minorHAnsi" w:hAnsiTheme="minorHAnsi"/>
                <w:b/>
                <w:bCs/>
              </w:rPr>
            </w:pPr>
            <w:r w:rsidRPr="00AA564B">
              <w:rPr>
                <w:rFonts w:asciiTheme="minorHAnsi" w:hAnsiTheme="minorHAnsi"/>
                <w:b/>
                <w:bCs/>
              </w:rPr>
              <w:t>Office of Governmen</w:t>
            </w:r>
            <w:r w:rsidR="00CB1387">
              <w:rPr>
                <w:rFonts w:asciiTheme="minorHAnsi" w:hAnsiTheme="minorHAnsi"/>
                <w:b/>
                <w:bCs/>
              </w:rPr>
              <w:t>t Ethics program q</w:t>
            </w:r>
            <w:r w:rsidR="005A7F71">
              <w:rPr>
                <w:rFonts w:asciiTheme="minorHAnsi" w:hAnsiTheme="minorHAnsi"/>
                <w:b/>
                <w:bCs/>
              </w:rPr>
              <w:t>uestionnaire r</w:t>
            </w:r>
            <w:r w:rsidRPr="00AA564B">
              <w:rPr>
                <w:rFonts w:asciiTheme="minorHAnsi" w:hAnsiTheme="minorHAnsi"/>
                <w:b/>
                <w:bCs/>
              </w:rPr>
              <w:t>ecords</w:t>
            </w:r>
            <w:r w:rsidR="005A7F71">
              <w:rPr>
                <w:rFonts w:asciiTheme="minorHAnsi" w:hAnsiTheme="minorHAnsi"/>
                <w:b/>
                <w:bCs/>
              </w:rPr>
              <w:t>.</w:t>
            </w:r>
          </w:p>
          <w:p w14:paraId="01078711" w14:textId="77777777" w:rsidR="00675640" w:rsidRDefault="00675640" w:rsidP="0078781C">
            <w:pPr>
              <w:autoSpaceDE w:val="0"/>
              <w:autoSpaceDN w:val="0"/>
              <w:adjustRightInd w:val="0"/>
              <w:spacing w:after="0" w:line="240" w:lineRule="auto"/>
              <w:ind w:left="358"/>
              <w:rPr>
                <w:rFonts w:asciiTheme="minorHAnsi" w:hAnsiTheme="minorHAnsi"/>
              </w:rPr>
            </w:pPr>
            <w:r w:rsidRPr="00AA564B">
              <w:rPr>
                <w:rFonts w:asciiTheme="minorHAnsi" w:hAnsiTheme="minorHAnsi"/>
              </w:rPr>
              <w:t xml:space="preserve">Questionnaires completed by ethics officials, </w:t>
            </w:r>
            <w:r w:rsidR="009E1663">
              <w:rPr>
                <w:rFonts w:asciiTheme="minorHAnsi" w:hAnsiTheme="minorHAnsi"/>
              </w:rPr>
              <w:t>such as</w:t>
            </w:r>
            <w:r w:rsidR="009E1663" w:rsidRPr="00C3601F">
              <w:rPr>
                <w:rFonts w:asciiTheme="minorHAnsi" w:hAnsiTheme="minorHAnsi"/>
              </w:rPr>
              <w:t xml:space="preserve"> </w:t>
            </w:r>
            <w:r w:rsidRPr="00C3601F">
              <w:rPr>
                <w:rFonts w:asciiTheme="minorHAnsi" w:hAnsiTheme="minorHAnsi"/>
              </w:rPr>
              <w:t>the</w:t>
            </w:r>
            <w:r w:rsidRPr="00C3601F">
              <w:rPr>
                <w:rFonts w:asciiTheme="minorHAnsi" w:hAnsiTheme="minorHAnsi"/>
                <w:i/>
              </w:rPr>
              <w:t xml:space="preserve"> </w:t>
            </w:r>
            <w:r w:rsidR="00CB1387">
              <w:rPr>
                <w:rFonts w:asciiTheme="minorHAnsi" w:hAnsiTheme="minorHAnsi"/>
                <w:i/>
              </w:rPr>
              <w:t>“</w:t>
            </w:r>
            <w:r w:rsidRPr="00CB1387">
              <w:rPr>
                <w:rFonts w:asciiTheme="minorHAnsi" w:hAnsiTheme="minorHAnsi"/>
              </w:rPr>
              <w:t>Annual Agency Ethics Program Questionnaire,</w:t>
            </w:r>
            <w:r w:rsidR="00CB1387">
              <w:rPr>
                <w:rFonts w:asciiTheme="minorHAnsi" w:hAnsiTheme="minorHAnsi"/>
              </w:rPr>
              <w:t>”</w:t>
            </w:r>
            <w:r w:rsidRPr="00CB1387">
              <w:rPr>
                <w:rFonts w:asciiTheme="minorHAnsi" w:hAnsiTheme="minorHAnsi"/>
              </w:rPr>
              <w:t xml:space="preserve"> </w:t>
            </w:r>
            <w:r w:rsidR="00322A1C" w:rsidRPr="00CB1387">
              <w:rPr>
                <w:rFonts w:asciiTheme="minorHAnsi" w:hAnsiTheme="minorHAnsi"/>
              </w:rPr>
              <w:t>the</w:t>
            </w:r>
            <w:r w:rsidRPr="00CB1387">
              <w:rPr>
                <w:rFonts w:asciiTheme="minorHAnsi" w:hAnsiTheme="minorHAnsi"/>
              </w:rPr>
              <w:t xml:space="preserve"> </w:t>
            </w:r>
            <w:r w:rsidR="00CB1387">
              <w:rPr>
                <w:rFonts w:asciiTheme="minorHAnsi" w:hAnsiTheme="minorHAnsi"/>
              </w:rPr>
              <w:t>“</w:t>
            </w:r>
            <w:r w:rsidRPr="00CB1387">
              <w:rPr>
                <w:rFonts w:asciiTheme="minorHAnsi" w:hAnsiTheme="minorHAnsi"/>
              </w:rPr>
              <w:t>Annual Agency Ethics Officer (DAEO) Survey,</w:t>
            </w:r>
            <w:r w:rsidR="00CB1387">
              <w:rPr>
                <w:rFonts w:asciiTheme="minorHAnsi" w:hAnsiTheme="minorHAnsi"/>
              </w:rPr>
              <w:t>”</w:t>
            </w:r>
            <w:r w:rsidRPr="00CB1387">
              <w:rPr>
                <w:rFonts w:asciiTheme="minorHAnsi" w:hAnsiTheme="minorHAnsi"/>
              </w:rPr>
              <w:t xml:space="preserve"> and other questionnaires and surveys, including records created or collected to prepare responses</w:t>
            </w:r>
            <w:r w:rsidRPr="00AA564B">
              <w:rPr>
                <w:rFonts w:asciiTheme="minorHAnsi" w:hAnsiTheme="minorHAnsi"/>
              </w:rPr>
              <w:t xml:space="preserve"> to ethics program questionnaires and surveys</w:t>
            </w:r>
            <w:r>
              <w:rPr>
                <w:rFonts w:asciiTheme="minorHAnsi" w:hAnsiTheme="minorHAnsi"/>
              </w:rPr>
              <w:t>.</w:t>
            </w:r>
          </w:p>
          <w:p w14:paraId="18D5560B" w14:textId="77777777" w:rsidR="009710AF" w:rsidRPr="00D45B30" w:rsidRDefault="009710AF" w:rsidP="0078781C">
            <w:pPr>
              <w:autoSpaceDE w:val="0"/>
              <w:autoSpaceDN w:val="0"/>
              <w:adjustRightInd w:val="0"/>
              <w:spacing w:after="0" w:line="240" w:lineRule="auto"/>
              <w:ind w:left="358"/>
              <w:rPr>
                <w:rFonts w:asciiTheme="minorHAnsi" w:hAnsiTheme="minorHAnsi"/>
                <w:i/>
              </w:rPr>
            </w:pPr>
          </w:p>
        </w:tc>
        <w:tc>
          <w:tcPr>
            <w:tcW w:w="2970" w:type="dxa"/>
          </w:tcPr>
          <w:p w14:paraId="4B52A6AF" w14:textId="77777777" w:rsidR="00675640" w:rsidRPr="00B16681" w:rsidRDefault="00675640" w:rsidP="007C6BD5">
            <w:pPr>
              <w:spacing w:after="0" w:line="240" w:lineRule="auto"/>
              <w:rPr>
                <w:b/>
              </w:rPr>
            </w:pPr>
            <w:r w:rsidRPr="00F86CC7">
              <w:rPr>
                <w:b/>
              </w:rPr>
              <w:t>Temporary.</w:t>
            </w:r>
            <w:r w:rsidRPr="00AA564B">
              <w:t xml:space="preserve"> </w:t>
            </w:r>
            <w:r w:rsidR="00A31699">
              <w:t xml:space="preserve"> </w:t>
            </w:r>
            <w:r w:rsidRPr="00AA564B">
              <w:rPr>
                <w:rFonts w:asciiTheme="minorHAnsi" w:hAnsiTheme="minorHAnsi"/>
              </w:rPr>
              <w:t>Destroy 3 years after submission</w:t>
            </w:r>
            <w:r w:rsidRPr="00AA564B">
              <w:rPr>
                <w:rFonts w:asciiTheme="minorHAnsi" w:hAnsiTheme="minorHAnsi"/>
                <w:iCs/>
              </w:rPr>
              <w:t>, but longer retention is authorized if required for business use</w:t>
            </w:r>
            <w:r w:rsidRPr="00AA564B">
              <w:rPr>
                <w:rFonts w:asciiTheme="minorHAnsi" w:hAnsiTheme="minorHAnsi"/>
              </w:rPr>
              <w:t>.</w:t>
            </w:r>
          </w:p>
        </w:tc>
        <w:tc>
          <w:tcPr>
            <w:tcW w:w="1260" w:type="dxa"/>
          </w:tcPr>
          <w:p w14:paraId="3CD15FE1" w14:textId="77777777" w:rsidR="00675640" w:rsidRPr="00761183" w:rsidRDefault="00B429AE" w:rsidP="007C6BD5">
            <w:pPr>
              <w:spacing w:after="0" w:line="240" w:lineRule="auto"/>
              <w:rPr>
                <w:rFonts w:asciiTheme="minorHAnsi" w:hAnsiTheme="minorHAnsi" w:cstheme="minorHAnsi"/>
              </w:rPr>
            </w:pPr>
            <w:r w:rsidRPr="00B429AE">
              <w:rPr>
                <w:rFonts w:asciiTheme="minorHAnsi" w:hAnsiTheme="minorHAnsi" w:cstheme="minorHAnsi"/>
              </w:rPr>
              <w:t>DAA-GRS-2014-0005-0005</w:t>
            </w:r>
          </w:p>
        </w:tc>
      </w:tr>
      <w:tr w:rsidR="00675640" w:rsidRPr="00761183" w14:paraId="7DDBE7B1" w14:textId="77777777" w:rsidTr="009710AF">
        <w:tc>
          <w:tcPr>
            <w:tcW w:w="727" w:type="dxa"/>
          </w:tcPr>
          <w:p w14:paraId="16994048" w14:textId="77777777" w:rsidR="00675640" w:rsidRDefault="00675640" w:rsidP="007C6BD5">
            <w:pPr>
              <w:spacing w:after="0" w:line="240" w:lineRule="auto"/>
              <w:jc w:val="center"/>
              <w:rPr>
                <w:rFonts w:asciiTheme="minorHAnsi" w:hAnsiTheme="minorHAnsi"/>
              </w:rPr>
            </w:pPr>
            <w:r>
              <w:rPr>
                <w:rFonts w:asciiTheme="minorHAnsi" w:hAnsiTheme="minorHAnsi"/>
              </w:rPr>
              <w:t>050</w:t>
            </w:r>
          </w:p>
        </w:tc>
        <w:tc>
          <w:tcPr>
            <w:tcW w:w="9450" w:type="dxa"/>
            <w:gridSpan w:val="4"/>
          </w:tcPr>
          <w:p w14:paraId="1043BB76" w14:textId="77777777" w:rsidR="00675640" w:rsidRDefault="001B6D51" w:rsidP="007C6BD5">
            <w:pPr>
              <w:autoSpaceDE w:val="0"/>
              <w:autoSpaceDN w:val="0"/>
              <w:adjustRightInd w:val="0"/>
              <w:spacing w:after="0" w:line="240" w:lineRule="auto"/>
              <w:rPr>
                <w:rFonts w:asciiTheme="minorHAnsi" w:hAnsiTheme="minorHAnsi"/>
                <w:b/>
                <w:bCs/>
              </w:rPr>
            </w:pPr>
            <w:r>
              <w:rPr>
                <w:rFonts w:asciiTheme="minorHAnsi" w:hAnsiTheme="minorHAnsi"/>
                <w:b/>
                <w:bCs/>
              </w:rPr>
              <w:t>Ethics p</w:t>
            </w:r>
            <w:r w:rsidR="00675640" w:rsidRPr="00817093">
              <w:rPr>
                <w:rFonts w:asciiTheme="minorHAnsi" w:hAnsiTheme="minorHAnsi"/>
                <w:b/>
                <w:bCs/>
              </w:rPr>
              <w:t>rogram</w:t>
            </w:r>
            <w:r>
              <w:rPr>
                <w:rFonts w:asciiTheme="minorHAnsi" w:hAnsiTheme="minorHAnsi"/>
                <w:b/>
                <w:bCs/>
              </w:rPr>
              <w:t xml:space="preserve"> r</w:t>
            </w:r>
            <w:r w:rsidR="00675640" w:rsidRPr="00F57851">
              <w:rPr>
                <w:rFonts w:asciiTheme="minorHAnsi" w:hAnsiTheme="minorHAnsi"/>
                <w:b/>
                <w:bCs/>
              </w:rPr>
              <w:t xml:space="preserve">eview </w:t>
            </w:r>
            <w:r>
              <w:rPr>
                <w:rFonts w:asciiTheme="minorHAnsi" w:hAnsiTheme="minorHAnsi"/>
                <w:b/>
                <w:bCs/>
              </w:rPr>
              <w:t>r</w:t>
            </w:r>
            <w:r w:rsidR="00675640">
              <w:rPr>
                <w:rFonts w:asciiTheme="minorHAnsi" w:hAnsiTheme="minorHAnsi"/>
                <w:b/>
                <w:bCs/>
              </w:rPr>
              <w:t>ecords</w:t>
            </w:r>
            <w:r>
              <w:rPr>
                <w:rFonts w:asciiTheme="minorHAnsi" w:hAnsiTheme="minorHAnsi"/>
                <w:b/>
                <w:bCs/>
              </w:rPr>
              <w:t>.</w:t>
            </w:r>
          </w:p>
          <w:p w14:paraId="117B6547" w14:textId="77777777" w:rsidR="00AF3E01" w:rsidRPr="00240CBA" w:rsidRDefault="00675640" w:rsidP="00082D9B">
            <w:pPr>
              <w:autoSpaceDE w:val="0"/>
              <w:autoSpaceDN w:val="0"/>
              <w:adjustRightInd w:val="0"/>
              <w:spacing w:after="0" w:line="240" w:lineRule="auto"/>
              <w:ind w:left="335"/>
              <w:rPr>
                <w:rFonts w:asciiTheme="minorHAnsi" w:hAnsiTheme="minorHAnsi"/>
                <w:b/>
                <w:bCs/>
                <w:i/>
              </w:rPr>
            </w:pPr>
            <w:r>
              <w:rPr>
                <w:rFonts w:asciiTheme="minorHAnsi" w:hAnsiTheme="minorHAnsi"/>
              </w:rPr>
              <w:t>R</w:t>
            </w:r>
            <w:r w:rsidRPr="00F57851">
              <w:rPr>
                <w:rFonts w:asciiTheme="minorHAnsi" w:hAnsiTheme="minorHAnsi"/>
              </w:rPr>
              <w:t xml:space="preserve">ecords relating to OGE reviews of agency compliance with executive branch ethics laws and regulations in such areas as financial disclosure, education and training, and advice and counseling. </w:t>
            </w:r>
            <w:r>
              <w:rPr>
                <w:rFonts w:asciiTheme="minorHAnsi" w:hAnsiTheme="minorHAnsi"/>
              </w:rPr>
              <w:t xml:space="preserve"> </w:t>
            </w:r>
            <w:r w:rsidRPr="00817093">
              <w:rPr>
                <w:rFonts w:asciiTheme="minorHAnsi" w:hAnsiTheme="minorHAnsi"/>
              </w:rPr>
              <w:t>This includes OGE program review reports, notes and background materials produced during OGE program reviews, agency 60-day response letters, and other follow-up records sent to OGE on the resolution of program deficiencies</w:t>
            </w:r>
            <w:r w:rsidRPr="00F57851">
              <w:rPr>
                <w:rFonts w:asciiTheme="minorHAnsi" w:hAnsiTheme="minorHAnsi"/>
              </w:rPr>
              <w:t>.</w:t>
            </w:r>
          </w:p>
          <w:p w14:paraId="45E90C3D" w14:textId="77777777" w:rsidR="00675640" w:rsidRPr="00240CBA" w:rsidRDefault="00675640" w:rsidP="007C6BD5">
            <w:pPr>
              <w:autoSpaceDE w:val="0"/>
              <w:autoSpaceDN w:val="0"/>
              <w:adjustRightInd w:val="0"/>
              <w:spacing w:after="0" w:line="240" w:lineRule="auto"/>
              <w:ind w:left="1528"/>
              <w:rPr>
                <w:rFonts w:asciiTheme="minorHAnsi" w:hAnsiTheme="minorHAnsi"/>
                <w:b/>
                <w:bCs/>
                <w:i/>
              </w:rPr>
            </w:pPr>
          </w:p>
        </w:tc>
        <w:tc>
          <w:tcPr>
            <w:tcW w:w="2970" w:type="dxa"/>
          </w:tcPr>
          <w:p w14:paraId="188769E3" w14:textId="77777777" w:rsidR="009710AF" w:rsidRPr="004C4ABC" w:rsidRDefault="00675640" w:rsidP="009E3100">
            <w:pPr>
              <w:spacing w:after="0" w:line="240" w:lineRule="auto"/>
              <w:rPr>
                <w:rFonts w:asciiTheme="minorHAnsi" w:hAnsiTheme="minorHAnsi"/>
                <w:iCs/>
              </w:rPr>
            </w:pPr>
            <w:r w:rsidRPr="0046200D">
              <w:rPr>
                <w:b/>
              </w:rPr>
              <w:t>Temporary.</w:t>
            </w:r>
            <w:r>
              <w:t xml:space="preserve">  </w:t>
            </w:r>
            <w:r w:rsidR="00A93A1E" w:rsidRPr="00AA411E">
              <w:rPr>
                <w:rFonts w:asciiTheme="minorHAnsi" w:hAnsiTheme="minorHAnsi"/>
              </w:rPr>
              <w:t xml:space="preserve">Destroy 6 </w:t>
            </w:r>
            <w:r w:rsidR="00A93A1E" w:rsidRPr="0083781A">
              <w:rPr>
                <w:rFonts w:asciiTheme="minorHAnsi" w:hAnsiTheme="minorHAnsi"/>
              </w:rPr>
              <w:t xml:space="preserve">years </w:t>
            </w:r>
            <w:r w:rsidR="00947C56" w:rsidRPr="0083781A">
              <w:rPr>
                <w:rFonts w:asciiTheme="minorHAnsi" w:hAnsiTheme="minorHAnsi"/>
              </w:rPr>
              <w:t xml:space="preserve">after </w:t>
            </w:r>
            <w:r w:rsidR="00947C56" w:rsidRPr="00593FC5">
              <w:rPr>
                <w:rFonts w:asciiTheme="minorHAnsi" w:hAnsiTheme="minorHAnsi"/>
              </w:rPr>
              <w:t>all outstanding ethics program review deficiencies have been resolved</w:t>
            </w:r>
            <w:r w:rsidR="00A93A1E" w:rsidRPr="00593FC5">
              <w:rPr>
                <w:rFonts w:asciiTheme="minorHAnsi" w:hAnsiTheme="minorHAnsi"/>
              </w:rPr>
              <w:t xml:space="preserve"> or when the documentation for the next program review is on file</w:t>
            </w:r>
            <w:r w:rsidR="001D5749" w:rsidRPr="00593FC5">
              <w:rPr>
                <w:rFonts w:asciiTheme="minorHAnsi" w:hAnsiTheme="minorHAnsi"/>
              </w:rPr>
              <w:t xml:space="preserve">, </w:t>
            </w:r>
            <w:r w:rsidR="00A93A1E" w:rsidRPr="00593FC5">
              <w:rPr>
                <w:rFonts w:asciiTheme="minorHAnsi" w:hAnsiTheme="minorHAnsi"/>
              </w:rPr>
              <w:t>whichever is later. Longer retention is authorized if needed for business use.</w:t>
            </w:r>
          </w:p>
        </w:tc>
        <w:tc>
          <w:tcPr>
            <w:tcW w:w="1260" w:type="dxa"/>
          </w:tcPr>
          <w:p w14:paraId="1DF5E842" w14:textId="77777777" w:rsidR="00675640" w:rsidRPr="00AA564B" w:rsidRDefault="00C72FF2" w:rsidP="007C6BD5">
            <w:pPr>
              <w:spacing w:after="0" w:line="240" w:lineRule="auto"/>
              <w:rPr>
                <w:rFonts w:asciiTheme="minorHAnsi" w:hAnsiTheme="minorHAnsi"/>
              </w:rPr>
            </w:pPr>
            <w:r w:rsidRPr="00C72FF2">
              <w:rPr>
                <w:rFonts w:asciiTheme="minorHAnsi" w:hAnsiTheme="minorHAnsi"/>
              </w:rPr>
              <w:t>DAA-GRS-2014-0005-0006</w:t>
            </w:r>
          </w:p>
        </w:tc>
      </w:tr>
      <w:tr w:rsidR="00675640" w:rsidRPr="00761183" w14:paraId="6CECF903" w14:textId="77777777" w:rsidTr="009710AF">
        <w:trPr>
          <w:trHeight w:val="1657"/>
        </w:trPr>
        <w:tc>
          <w:tcPr>
            <w:tcW w:w="727" w:type="dxa"/>
          </w:tcPr>
          <w:p w14:paraId="78546895" w14:textId="77777777" w:rsidR="00675640" w:rsidRDefault="00675640" w:rsidP="007C6BD5">
            <w:pPr>
              <w:spacing w:after="0" w:line="240" w:lineRule="auto"/>
              <w:jc w:val="center"/>
              <w:rPr>
                <w:rFonts w:asciiTheme="minorHAnsi" w:hAnsiTheme="minorHAnsi"/>
              </w:rPr>
            </w:pPr>
            <w:r>
              <w:rPr>
                <w:rFonts w:asciiTheme="minorHAnsi" w:hAnsiTheme="minorHAnsi"/>
              </w:rPr>
              <w:lastRenderedPageBreak/>
              <w:t>060</w:t>
            </w:r>
          </w:p>
        </w:tc>
        <w:tc>
          <w:tcPr>
            <w:tcW w:w="2430" w:type="dxa"/>
            <w:gridSpan w:val="2"/>
            <w:vMerge w:val="restart"/>
          </w:tcPr>
          <w:p w14:paraId="593D22EC" w14:textId="77777777" w:rsidR="00045740" w:rsidRDefault="00045740" w:rsidP="007C6BD5">
            <w:pPr>
              <w:spacing w:after="0" w:line="240" w:lineRule="auto"/>
              <w:rPr>
                <w:rFonts w:asciiTheme="minorHAnsi" w:hAnsiTheme="minorHAnsi"/>
                <w:b/>
              </w:rPr>
            </w:pPr>
            <w:r>
              <w:rPr>
                <w:rFonts w:asciiTheme="minorHAnsi" w:hAnsiTheme="minorHAnsi"/>
                <w:b/>
              </w:rPr>
              <w:t>Pub</w:t>
            </w:r>
            <w:r w:rsidR="00E07813">
              <w:rPr>
                <w:rFonts w:asciiTheme="minorHAnsi" w:hAnsiTheme="minorHAnsi"/>
                <w:b/>
              </w:rPr>
              <w:t>lic financial disclosure r</w:t>
            </w:r>
            <w:r w:rsidR="00C4006E">
              <w:rPr>
                <w:rFonts w:asciiTheme="minorHAnsi" w:hAnsiTheme="minorHAnsi"/>
                <w:b/>
              </w:rPr>
              <w:t>eports</w:t>
            </w:r>
            <w:r w:rsidR="00E07813">
              <w:rPr>
                <w:rFonts w:asciiTheme="minorHAnsi" w:hAnsiTheme="minorHAnsi"/>
                <w:b/>
              </w:rPr>
              <w:t>.</w:t>
            </w:r>
          </w:p>
          <w:p w14:paraId="1971AF3F" w14:textId="77777777" w:rsidR="00675640" w:rsidRPr="00A31699" w:rsidRDefault="00675640" w:rsidP="00082D9B">
            <w:pPr>
              <w:spacing w:after="0" w:line="240" w:lineRule="auto"/>
              <w:ind w:left="335"/>
              <w:rPr>
                <w:rFonts w:asciiTheme="minorHAnsi" w:hAnsiTheme="minorHAnsi"/>
              </w:rPr>
            </w:pPr>
            <w:r w:rsidRPr="00045740">
              <w:rPr>
                <w:rFonts w:asciiTheme="minorHAnsi" w:hAnsiTheme="minorHAnsi"/>
              </w:rPr>
              <w:t>Executive Branch Personnel Public Financial Disclosure Reports (OGE Form 278) (formerly SF 278</w:t>
            </w:r>
            <w:r w:rsidRPr="00C5023A">
              <w:rPr>
                <w:rFonts w:asciiTheme="minorHAnsi" w:hAnsiTheme="minorHAnsi"/>
              </w:rPr>
              <w:t>)</w:t>
            </w:r>
            <w:r w:rsidR="003657A0" w:rsidRPr="00C5023A">
              <w:rPr>
                <w:rFonts w:asciiTheme="minorHAnsi" w:hAnsiTheme="minorHAnsi"/>
              </w:rPr>
              <w:t>, OGE Form 278e</w:t>
            </w:r>
            <w:r w:rsidR="009E1663">
              <w:rPr>
                <w:rFonts w:asciiTheme="minorHAnsi" w:hAnsiTheme="minorHAnsi"/>
              </w:rPr>
              <w:t>,</w:t>
            </w:r>
            <w:r w:rsidRPr="00C5023A">
              <w:rPr>
                <w:rFonts w:asciiTheme="minorHAnsi" w:hAnsiTheme="minorHAnsi"/>
              </w:rPr>
              <w:t xml:space="preserve"> and</w:t>
            </w:r>
            <w:r w:rsidRPr="00045740">
              <w:rPr>
                <w:rFonts w:asciiTheme="minorHAnsi" w:hAnsiTheme="minorHAnsi"/>
              </w:rPr>
              <w:t xml:space="preserve"> related records.</w:t>
            </w:r>
          </w:p>
        </w:tc>
        <w:tc>
          <w:tcPr>
            <w:tcW w:w="7020" w:type="dxa"/>
            <w:gridSpan w:val="2"/>
          </w:tcPr>
          <w:p w14:paraId="395CD2DD" w14:textId="77777777" w:rsidR="00B1480C" w:rsidRPr="00CA3FF5" w:rsidRDefault="00B1480C" w:rsidP="004621CA">
            <w:pPr>
              <w:spacing w:after="0" w:line="240" w:lineRule="auto"/>
              <w:rPr>
                <w:rFonts w:asciiTheme="minorHAnsi" w:hAnsiTheme="minorHAnsi"/>
                <w:b/>
              </w:rPr>
            </w:pPr>
            <w:r w:rsidRPr="00B1480C">
              <w:rPr>
                <w:rFonts w:asciiTheme="minorHAnsi" w:hAnsiTheme="minorHAnsi"/>
                <w:b/>
              </w:rPr>
              <w:t>Reports for individuals filing in accordance with the Ethics in Government Act, as amended (5 U.S.C. app.), including the Stop Trading on Congressional Knowledge Act of 2012</w:t>
            </w:r>
            <w:r w:rsidR="002D2FB2">
              <w:rPr>
                <w:rFonts w:asciiTheme="minorHAnsi" w:hAnsiTheme="minorHAnsi"/>
                <w:b/>
              </w:rPr>
              <w:t xml:space="preserve"> </w:t>
            </w:r>
            <w:r w:rsidR="002D2FB2" w:rsidRPr="003675FA">
              <w:rPr>
                <w:rFonts w:asciiTheme="minorHAnsi" w:hAnsiTheme="minorHAnsi"/>
                <w:b/>
              </w:rPr>
              <w:t>(STOCK Act)</w:t>
            </w:r>
            <w:r w:rsidRPr="00B1480C">
              <w:rPr>
                <w:rFonts w:asciiTheme="minorHAnsi" w:hAnsiTheme="minorHAnsi"/>
                <w:b/>
              </w:rPr>
              <w:t xml:space="preserve"> (Pub. L. 112-105), and not subsequently confirmed by the U.S. Senate.</w:t>
            </w:r>
          </w:p>
          <w:p w14:paraId="39122CFF" w14:textId="77777777" w:rsidR="00675640" w:rsidRPr="00C5023A" w:rsidRDefault="00675640" w:rsidP="00F70313">
            <w:pPr>
              <w:tabs>
                <w:tab w:val="left" w:pos="245"/>
                <w:tab w:val="left" w:pos="612"/>
              </w:tabs>
              <w:spacing w:after="0" w:line="240" w:lineRule="auto"/>
              <w:rPr>
                <w:rFonts w:asciiTheme="minorHAnsi" w:hAnsiTheme="minorHAnsi"/>
              </w:rPr>
            </w:pPr>
          </w:p>
          <w:p w14:paraId="0954FBC5" w14:textId="77777777" w:rsidR="00675640" w:rsidRPr="00675640" w:rsidRDefault="00DD511C" w:rsidP="001C206A">
            <w:pPr>
              <w:spacing w:after="0" w:line="240" w:lineRule="auto"/>
              <w:ind w:left="335"/>
              <w:rPr>
                <w:rFonts w:asciiTheme="minorHAnsi" w:hAnsiTheme="minorHAnsi"/>
                <w:i/>
              </w:rPr>
            </w:pPr>
            <w:r>
              <w:rPr>
                <w:rFonts w:asciiTheme="minorHAnsi" w:hAnsiTheme="minorHAnsi"/>
                <w:b/>
              </w:rPr>
              <w:t xml:space="preserve">Legal Citation: </w:t>
            </w:r>
            <w:r w:rsidR="00B1480C">
              <w:rPr>
                <w:rFonts w:asciiTheme="minorHAnsi" w:hAnsiTheme="minorHAnsi"/>
              </w:rPr>
              <w:t xml:space="preserve"> 5 U.S.C. app.</w:t>
            </w:r>
            <w:r w:rsidR="00765699">
              <w:rPr>
                <w:rFonts w:asciiTheme="minorHAnsi" w:hAnsiTheme="minorHAnsi"/>
              </w:rPr>
              <w:t xml:space="preserve"> section 105</w:t>
            </w:r>
            <w:r w:rsidR="00B1480C">
              <w:rPr>
                <w:rFonts w:asciiTheme="minorHAnsi" w:hAnsiTheme="minorHAnsi"/>
              </w:rPr>
              <w:t xml:space="preserve">, 5 CFR </w:t>
            </w:r>
            <w:r w:rsidR="00B1480C" w:rsidRPr="00B1480C">
              <w:rPr>
                <w:rFonts w:asciiTheme="minorHAnsi" w:hAnsiTheme="minorHAnsi"/>
              </w:rPr>
              <w:t>2634</w:t>
            </w:r>
            <w:r w:rsidR="00266BAB">
              <w:rPr>
                <w:rFonts w:asciiTheme="minorHAnsi" w:hAnsiTheme="minorHAnsi"/>
              </w:rPr>
              <w:t>.603</w:t>
            </w:r>
          </w:p>
        </w:tc>
        <w:tc>
          <w:tcPr>
            <w:tcW w:w="2970" w:type="dxa"/>
          </w:tcPr>
          <w:p w14:paraId="1C4B72D6" w14:textId="77777777" w:rsidR="00675640" w:rsidRPr="001C206A" w:rsidRDefault="00675640" w:rsidP="007C6BD5">
            <w:pPr>
              <w:spacing w:after="0" w:line="240" w:lineRule="auto"/>
            </w:pPr>
            <w:r w:rsidRPr="001C206A">
              <w:rPr>
                <w:b/>
              </w:rPr>
              <w:t>Temporary.</w:t>
            </w:r>
            <w:r w:rsidRPr="001C206A">
              <w:t xml:space="preserve"> </w:t>
            </w:r>
            <w:r w:rsidR="00A31699" w:rsidRPr="001C206A">
              <w:t xml:space="preserve"> </w:t>
            </w:r>
            <w:r w:rsidRPr="001C206A">
              <w:t xml:space="preserve">Destroy 1 year after nominee ceases to be under consideration </w:t>
            </w:r>
            <w:r w:rsidR="00764D54" w:rsidRPr="001C206A">
              <w:t xml:space="preserve">for the position </w:t>
            </w:r>
            <w:r w:rsidRPr="001C206A">
              <w:t>or when no longer needed for active investigation</w:t>
            </w:r>
            <w:r w:rsidR="001D5749" w:rsidRPr="001C206A">
              <w:t>,</w:t>
            </w:r>
            <w:r w:rsidR="00B77C17" w:rsidRPr="001C206A">
              <w:t xml:space="preserve"> whichever is later.</w:t>
            </w:r>
            <w:r w:rsidR="00AC7067" w:rsidRPr="001C206A">
              <w:t xml:space="preserve">  This disposition instruction is mandatory; deviations are not allowed.</w:t>
            </w:r>
          </w:p>
          <w:p w14:paraId="15812D0C" w14:textId="77777777" w:rsidR="009710AF" w:rsidRPr="001C206A" w:rsidRDefault="009710AF" w:rsidP="007C6BD5">
            <w:pPr>
              <w:spacing w:after="0" w:line="240" w:lineRule="auto"/>
              <w:rPr>
                <w:rFonts w:asciiTheme="minorHAnsi" w:hAnsiTheme="minorHAnsi"/>
              </w:rPr>
            </w:pPr>
          </w:p>
        </w:tc>
        <w:tc>
          <w:tcPr>
            <w:tcW w:w="1260" w:type="dxa"/>
          </w:tcPr>
          <w:p w14:paraId="17A9ECC5" w14:textId="77777777" w:rsidR="00675640" w:rsidRPr="00675640" w:rsidRDefault="00C72FF2" w:rsidP="007C6BD5">
            <w:pPr>
              <w:spacing w:after="0" w:line="240" w:lineRule="auto"/>
              <w:rPr>
                <w:rFonts w:asciiTheme="minorHAnsi" w:hAnsiTheme="minorHAnsi" w:cstheme="minorHAnsi"/>
              </w:rPr>
            </w:pPr>
            <w:r w:rsidRPr="00C72FF2">
              <w:rPr>
                <w:rFonts w:asciiTheme="minorHAnsi" w:hAnsiTheme="minorHAnsi" w:cstheme="minorHAnsi"/>
              </w:rPr>
              <w:t>DAA-GRS-2014-0005-0007</w:t>
            </w:r>
          </w:p>
        </w:tc>
      </w:tr>
      <w:tr w:rsidR="00C2756E" w:rsidRPr="00761183" w14:paraId="69F57BC8" w14:textId="77777777" w:rsidTr="009710AF">
        <w:trPr>
          <w:trHeight w:val="2206"/>
        </w:trPr>
        <w:tc>
          <w:tcPr>
            <w:tcW w:w="727" w:type="dxa"/>
          </w:tcPr>
          <w:p w14:paraId="5A19D1D0" w14:textId="77777777" w:rsidR="00C2756E" w:rsidRDefault="00C2756E" w:rsidP="007C6BD5">
            <w:pPr>
              <w:spacing w:after="0" w:line="240" w:lineRule="auto"/>
              <w:jc w:val="center"/>
              <w:rPr>
                <w:rFonts w:asciiTheme="minorHAnsi" w:hAnsiTheme="minorHAnsi"/>
              </w:rPr>
            </w:pPr>
            <w:r>
              <w:rPr>
                <w:rFonts w:asciiTheme="minorHAnsi" w:hAnsiTheme="minorHAnsi"/>
              </w:rPr>
              <w:t>06</w:t>
            </w:r>
            <w:r w:rsidR="00A44397">
              <w:rPr>
                <w:rFonts w:asciiTheme="minorHAnsi" w:hAnsiTheme="minorHAnsi"/>
              </w:rPr>
              <w:t>1</w:t>
            </w:r>
          </w:p>
        </w:tc>
        <w:tc>
          <w:tcPr>
            <w:tcW w:w="2430" w:type="dxa"/>
            <w:gridSpan w:val="2"/>
            <w:vMerge/>
          </w:tcPr>
          <w:p w14:paraId="2B92FDCB" w14:textId="77777777" w:rsidR="00C2756E" w:rsidRPr="00E26A01" w:rsidRDefault="00C2756E" w:rsidP="007C6BD5">
            <w:pPr>
              <w:spacing w:after="0" w:line="240" w:lineRule="auto"/>
              <w:rPr>
                <w:rFonts w:asciiTheme="minorHAnsi" w:hAnsiTheme="minorHAnsi"/>
                <w:b/>
              </w:rPr>
            </w:pPr>
          </w:p>
        </w:tc>
        <w:tc>
          <w:tcPr>
            <w:tcW w:w="7020" w:type="dxa"/>
            <w:gridSpan w:val="2"/>
          </w:tcPr>
          <w:p w14:paraId="411F176F" w14:textId="77777777" w:rsidR="00C2756E" w:rsidRPr="00C5023A" w:rsidRDefault="00C2756E" w:rsidP="003657A0">
            <w:pPr>
              <w:spacing w:after="0" w:line="240" w:lineRule="auto"/>
              <w:rPr>
                <w:rFonts w:asciiTheme="minorHAnsi" w:hAnsiTheme="minorHAnsi"/>
                <w:b/>
              </w:rPr>
            </w:pPr>
            <w:r w:rsidRPr="00E26A01">
              <w:rPr>
                <w:rFonts w:asciiTheme="minorHAnsi" w:hAnsiTheme="minorHAnsi"/>
                <w:b/>
              </w:rPr>
              <w:t xml:space="preserve">All other </w:t>
            </w:r>
            <w:r w:rsidRPr="00C5023A">
              <w:rPr>
                <w:rFonts w:asciiTheme="minorHAnsi" w:hAnsiTheme="minorHAnsi"/>
                <w:b/>
              </w:rPr>
              <w:t>reports.</w:t>
            </w:r>
          </w:p>
          <w:p w14:paraId="60D2CA20" w14:textId="77777777" w:rsidR="00C2756E" w:rsidRDefault="00C2756E" w:rsidP="003657A0">
            <w:pPr>
              <w:spacing w:after="0" w:line="240" w:lineRule="auto"/>
              <w:rPr>
                <w:rFonts w:asciiTheme="minorHAnsi" w:hAnsiTheme="minorHAnsi"/>
                <w:b/>
              </w:rPr>
            </w:pPr>
          </w:p>
          <w:p w14:paraId="11A10E6F" w14:textId="77777777" w:rsidR="00C2756E" w:rsidRPr="00F1434D" w:rsidRDefault="00C9265D" w:rsidP="001C206A">
            <w:pPr>
              <w:spacing w:after="0" w:line="240" w:lineRule="auto"/>
              <w:ind w:left="335"/>
              <w:rPr>
                <w:rFonts w:asciiTheme="minorHAnsi" w:hAnsiTheme="minorHAnsi"/>
                <w:b/>
              </w:rPr>
            </w:pPr>
            <w:r>
              <w:rPr>
                <w:rFonts w:asciiTheme="minorHAnsi" w:hAnsiTheme="minorHAnsi"/>
                <w:b/>
              </w:rPr>
              <w:t xml:space="preserve">Legal Citation:  </w:t>
            </w:r>
            <w:r w:rsidR="00415024">
              <w:rPr>
                <w:rFonts w:asciiTheme="minorHAnsi" w:hAnsiTheme="minorHAnsi"/>
              </w:rPr>
              <w:t>5 U.S.C. app.</w:t>
            </w:r>
            <w:r w:rsidR="0020053A">
              <w:rPr>
                <w:rFonts w:asciiTheme="minorHAnsi" w:hAnsiTheme="minorHAnsi"/>
              </w:rPr>
              <w:t xml:space="preserve"> </w:t>
            </w:r>
            <w:r w:rsidR="006309AE">
              <w:rPr>
                <w:rFonts w:asciiTheme="minorHAnsi" w:hAnsiTheme="minorHAnsi"/>
              </w:rPr>
              <w:t>s</w:t>
            </w:r>
            <w:r w:rsidR="0020053A">
              <w:rPr>
                <w:rFonts w:asciiTheme="minorHAnsi" w:hAnsiTheme="minorHAnsi"/>
              </w:rPr>
              <w:t>ection 105</w:t>
            </w:r>
            <w:r w:rsidR="00415024">
              <w:rPr>
                <w:rFonts w:asciiTheme="minorHAnsi" w:hAnsiTheme="minorHAnsi"/>
              </w:rPr>
              <w:t xml:space="preserve">, 5 CFR </w:t>
            </w:r>
            <w:r w:rsidR="00415024" w:rsidRPr="00B1480C">
              <w:rPr>
                <w:rFonts w:asciiTheme="minorHAnsi" w:hAnsiTheme="minorHAnsi"/>
              </w:rPr>
              <w:t>part 2634</w:t>
            </w:r>
            <w:r w:rsidR="00266BAB">
              <w:rPr>
                <w:rFonts w:asciiTheme="minorHAnsi" w:hAnsiTheme="minorHAnsi"/>
              </w:rPr>
              <w:t>.603</w:t>
            </w:r>
          </w:p>
        </w:tc>
        <w:tc>
          <w:tcPr>
            <w:tcW w:w="2970" w:type="dxa"/>
          </w:tcPr>
          <w:p w14:paraId="6AB385DF" w14:textId="77777777" w:rsidR="00C2756E" w:rsidRPr="001C206A" w:rsidRDefault="00C2756E" w:rsidP="00565A49">
            <w:pPr>
              <w:spacing w:after="0" w:line="240" w:lineRule="auto"/>
              <w:rPr>
                <w:rFonts w:asciiTheme="minorHAnsi" w:hAnsiTheme="minorHAnsi"/>
              </w:rPr>
            </w:pPr>
            <w:r w:rsidRPr="001C206A">
              <w:rPr>
                <w:b/>
              </w:rPr>
              <w:t>Temporary.</w:t>
            </w:r>
            <w:r w:rsidRPr="001C206A">
              <w:t xml:space="preserve"> </w:t>
            </w:r>
            <w:r w:rsidR="00A31699" w:rsidRPr="001C206A">
              <w:t xml:space="preserve"> </w:t>
            </w:r>
            <w:r w:rsidR="00565A49" w:rsidRPr="001C206A">
              <w:rPr>
                <w:rFonts w:asciiTheme="minorHAnsi" w:hAnsiTheme="minorHAnsi"/>
              </w:rPr>
              <w:t xml:space="preserve">Destroy 6 years </w:t>
            </w:r>
            <w:r w:rsidR="008D194A" w:rsidRPr="001C206A">
              <w:rPr>
                <w:rFonts w:asciiTheme="minorHAnsi" w:hAnsiTheme="minorHAnsi"/>
              </w:rPr>
              <w:t xml:space="preserve">after receipt </w:t>
            </w:r>
            <w:r w:rsidR="00565A49" w:rsidRPr="001C206A">
              <w:rPr>
                <w:rFonts w:asciiTheme="minorHAnsi" w:hAnsiTheme="minorHAnsi"/>
              </w:rPr>
              <w:t>of the OGE Form 278 or 278e</w:t>
            </w:r>
            <w:r w:rsidR="00B039B0" w:rsidRPr="001C206A">
              <w:rPr>
                <w:rFonts w:asciiTheme="minorHAnsi" w:hAnsiTheme="minorHAnsi"/>
              </w:rPr>
              <w:t xml:space="preserve"> by the agency</w:t>
            </w:r>
            <w:r w:rsidR="00565A49" w:rsidRPr="001C206A">
              <w:rPr>
                <w:rFonts w:asciiTheme="minorHAnsi" w:hAnsiTheme="minorHAnsi"/>
              </w:rPr>
              <w:t xml:space="preserve"> or when no longer needed for active investigation</w:t>
            </w:r>
            <w:r w:rsidR="001D5749" w:rsidRPr="001C206A">
              <w:rPr>
                <w:rFonts w:asciiTheme="minorHAnsi" w:hAnsiTheme="minorHAnsi"/>
              </w:rPr>
              <w:t>,</w:t>
            </w:r>
            <w:r w:rsidR="00565A49" w:rsidRPr="001C206A">
              <w:rPr>
                <w:rFonts w:asciiTheme="minorHAnsi" w:hAnsiTheme="minorHAnsi"/>
              </w:rPr>
              <w:t xml:space="preserve"> whichever is later.</w:t>
            </w:r>
            <w:r w:rsidR="00AC7067" w:rsidRPr="001C206A">
              <w:rPr>
                <w:rFonts w:asciiTheme="minorHAnsi" w:hAnsiTheme="minorHAnsi"/>
              </w:rPr>
              <w:t xml:space="preserve">  This disposition instruction is mandatory; deviations are not allowed.</w:t>
            </w:r>
          </w:p>
        </w:tc>
        <w:tc>
          <w:tcPr>
            <w:tcW w:w="1260" w:type="dxa"/>
          </w:tcPr>
          <w:p w14:paraId="0423BC25" w14:textId="77777777" w:rsidR="00C2756E" w:rsidRDefault="00C72FF2" w:rsidP="003657A0">
            <w:pPr>
              <w:spacing w:after="0" w:line="240" w:lineRule="auto"/>
              <w:rPr>
                <w:rFonts w:asciiTheme="minorHAnsi" w:hAnsiTheme="minorHAnsi" w:cstheme="minorHAnsi"/>
              </w:rPr>
            </w:pPr>
            <w:r w:rsidRPr="00C72FF2">
              <w:rPr>
                <w:rFonts w:asciiTheme="minorHAnsi" w:hAnsiTheme="minorHAnsi" w:cstheme="minorHAnsi"/>
              </w:rPr>
              <w:t>DAA-GRS-2014-0005-0008</w:t>
            </w:r>
          </w:p>
        </w:tc>
      </w:tr>
      <w:tr w:rsidR="00B912C6" w:rsidRPr="00127279" w14:paraId="6F3A1AFB" w14:textId="77777777" w:rsidTr="009710AF">
        <w:trPr>
          <w:trHeight w:val="1864"/>
        </w:trPr>
        <w:tc>
          <w:tcPr>
            <w:tcW w:w="727" w:type="dxa"/>
          </w:tcPr>
          <w:p w14:paraId="099A852C" w14:textId="77777777" w:rsidR="00B912C6" w:rsidRPr="00127279" w:rsidRDefault="00B912C6" w:rsidP="007C6BD5">
            <w:pPr>
              <w:spacing w:after="0" w:line="240" w:lineRule="auto"/>
              <w:jc w:val="center"/>
              <w:rPr>
                <w:rFonts w:asciiTheme="minorHAnsi" w:hAnsiTheme="minorHAnsi"/>
              </w:rPr>
            </w:pPr>
            <w:r w:rsidRPr="00127279">
              <w:rPr>
                <w:rFonts w:asciiTheme="minorHAnsi" w:hAnsiTheme="minorHAnsi"/>
              </w:rPr>
              <w:t>062</w:t>
            </w:r>
          </w:p>
        </w:tc>
        <w:tc>
          <w:tcPr>
            <w:tcW w:w="2430" w:type="dxa"/>
            <w:gridSpan w:val="2"/>
            <w:vMerge/>
          </w:tcPr>
          <w:p w14:paraId="07F3907A" w14:textId="77777777" w:rsidR="00B912C6" w:rsidRPr="00127279" w:rsidRDefault="00B912C6" w:rsidP="007C6BD5">
            <w:pPr>
              <w:spacing w:after="0" w:line="240" w:lineRule="auto"/>
              <w:rPr>
                <w:rFonts w:asciiTheme="minorHAnsi" w:hAnsiTheme="minorHAnsi"/>
                <w:b/>
              </w:rPr>
            </w:pPr>
          </w:p>
        </w:tc>
        <w:tc>
          <w:tcPr>
            <w:tcW w:w="7020" w:type="dxa"/>
            <w:gridSpan w:val="2"/>
          </w:tcPr>
          <w:p w14:paraId="25FA413C" w14:textId="77777777" w:rsidR="00B912C6" w:rsidRPr="00127279" w:rsidRDefault="00491D0E" w:rsidP="003657A0">
            <w:pPr>
              <w:spacing w:after="0" w:line="240" w:lineRule="auto"/>
              <w:rPr>
                <w:rFonts w:asciiTheme="minorHAnsi" w:hAnsiTheme="minorHAnsi"/>
                <w:b/>
              </w:rPr>
            </w:pPr>
            <w:r w:rsidRPr="00127279">
              <w:rPr>
                <w:rFonts w:asciiTheme="minorHAnsi" w:hAnsiTheme="minorHAnsi"/>
                <w:b/>
              </w:rPr>
              <w:t>Periodic t</w:t>
            </w:r>
            <w:r w:rsidR="00B912C6" w:rsidRPr="00127279">
              <w:rPr>
                <w:rFonts w:asciiTheme="minorHAnsi" w:hAnsiTheme="minorHAnsi"/>
                <w:b/>
              </w:rPr>
              <w:t xml:space="preserve">ransaction </w:t>
            </w:r>
            <w:r w:rsidRPr="00127279">
              <w:rPr>
                <w:rFonts w:asciiTheme="minorHAnsi" w:hAnsiTheme="minorHAnsi"/>
                <w:b/>
              </w:rPr>
              <w:t>r</w:t>
            </w:r>
            <w:r w:rsidR="00B912C6" w:rsidRPr="00127279">
              <w:rPr>
                <w:rFonts w:asciiTheme="minorHAnsi" w:hAnsiTheme="minorHAnsi"/>
                <w:b/>
              </w:rPr>
              <w:t>eports</w:t>
            </w:r>
            <w:r w:rsidR="00265B92" w:rsidRPr="00127279">
              <w:rPr>
                <w:rFonts w:asciiTheme="minorHAnsi" w:hAnsiTheme="minorHAnsi"/>
                <w:b/>
              </w:rPr>
              <w:t>.</w:t>
            </w:r>
            <w:r w:rsidR="00B912C6" w:rsidRPr="00127279">
              <w:rPr>
                <w:rFonts w:asciiTheme="minorHAnsi" w:hAnsiTheme="minorHAnsi"/>
                <w:b/>
              </w:rPr>
              <w:t xml:space="preserve"> </w:t>
            </w:r>
          </w:p>
          <w:p w14:paraId="0CA55505" w14:textId="77777777" w:rsidR="00B912C6" w:rsidRPr="00127279" w:rsidRDefault="00491D0E" w:rsidP="001C206A">
            <w:pPr>
              <w:spacing w:after="0" w:line="240" w:lineRule="auto"/>
              <w:ind w:left="335"/>
              <w:rPr>
                <w:rFonts w:asciiTheme="minorHAnsi" w:hAnsiTheme="minorHAnsi"/>
                <w:b/>
              </w:rPr>
            </w:pPr>
            <w:r w:rsidRPr="00127279">
              <w:rPr>
                <w:rFonts w:asciiTheme="minorHAnsi" w:hAnsiTheme="minorHAnsi"/>
              </w:rPr>
              <w:t>OGE 278-T f</w:t>
            </w:r>
            <w:r w:rsidR="00B912C6" w:rsidRPr="00127279">
              <w:rPr>
                <w:rFonts w:asciiTheme="minorHAnsi" w:hAnsiTheme="minorHAnsi"/>
              </w:rPr>
              <w:t xml:space="preserve">orms filed by reporting individuals in accordance with the STOCK Act of 2012, and related records. </w:t>
            </w:r>
          </w:p>
          <w:p w14:paraId="3DBB5976" w14:textId="77777777" w:rsidR="00CA5AC7" w:rsidRDefault="00CA5AC7" w:rsidP="00A31699">
            <w:pPr>
              <w:tabs>
                <w:tab w:val="center" w:pos="3321"/>
              </w:tabs>
              <w:spacing w:after="0" w:line="240" w:lineRule="auto"/>
              <w:ind w:left="166"/>
              <w:rPr>
                <w:rFonts w:asciiTheme="minorHAnsi" w:hAnsiTheme="minorHAnsi"/>
              </w:rPr>
            </w:pPr>
          </w:p>
          <w:p w14:paraId="5763E9FE" w14:textId="77777777" w:rsidR="006309AE" w:rsidRPr="00CA5AC7" w:rsidRDefault="006309AE" w:rsidP="001C206A">
            <w:pPr>
              <w:tabs>
                <w:tab w:val="center" w:pos="3321"/>
              </w:tabs>
              <w:spacing w:after="0" w:line="240" w:lineRule="auto"/>
              <w:ind w:left="335"/>
              <w:rPr>
                <w:rFonts w:asciiTheme="minorHAnsi" w:hAnsiTheme="minorHAnsi"/>
              </w:rPr>
            </w:pPr>
            <w:r w:rsidRPr="006309AE">
              <w:rPr>
                <w:rFonts w:asciiTheme="minorHAnsi" w:hAnsiTheme="minorHAnsi"/>
                <w:b/>
              </w:rPr>
              <w:t>Legal Citation:</w:t>
            </w:r>
            <w:r>
              <w:rPr>
                <w:rFonts w:asciiTheme="minorHAnsi" w:hAnsiTheme="minorHAnsi"/>
              </w:rPr>
              <w:t xml:space="preserve">  </w:t>
            </w:r>
            <w:r w:rsidRPr="006309AE">
              <w:rPr>
                <w:rFonts w:asciiTheme="minorHAnsi" w:hAnsiTheme="minorHAnsi"/>
              </w:rPr>
              <w:t>STOCK Act</w:t>
            </w:r>
            <w:r w:rsidR="00FC490F">
              <w:rPr>
                <w:rFonts w:asciiTheme="minorHAnsi" w:hAnsiTheme="minorHAnsi"/>
              </w:rPr>
              <w:t xml:space="preserve">, </w:t>
            </w:r>
            <w:r w:rsidRPr="006309AE">
              <w:rPr>
                <w:rFonts w:asciiTheme="minorHAnsi" w:hAnsiTheme="minorHAnsi"/>
              </w:rPr>
              <w:t>Pub. L. 112-105</w:t>
            </w:r>
          </w:p>
        </w:tc>
        <w:tc>
          <w:tcPr>
            <w:tcW w:w="2970" w:type="dxa"/>
          </w:tcPr>
          <w:p w14:paraId="2F14A538" w14:textId="77777777" w:rsidR="00B912C6" w:rsidRPr="001C206A" w:rsidRDefault="00B912C6" w:rsidP="00D34117">
            <w:pPr>
              <w:spacing w:after="0" w:line="240" w:lineRule="auto"/>
            </w:pPr>
            <w:r w:rsidRPr="001C206A">
              <w:rPr>
                <w:rFonts w:asciiTheme="minorHAnsi" w:hAnsiTheme="minorHAnsi"/>
                <w:b/>
              </w:rPr>
              <w:t>Temporary</w:t>
            </w:r>
            <w:r w:rsidRPr="001C206A">
              <w:rPr>
                <w:rFonts w:asciiTheme="minorHAnsi" w:hAnsiTheme="minorHAnsi"/>
              </w:rPr>
              <w:t>.</w:t>
            </w:r>
            <w:r w:rsidRPr="001C206A">
              <w:rPr>
                <w:rFonts w:asciiTheme="minorHAnsi" w:hAnsiTheme="minorHAnsi"/>
                <w:sz w:val="20"/>
                <w:szCs w:val="20"/>
              </w:rPr>
              <w:t xml:space="preserve">  </w:t>
            </w:r>
            <w:r w:rsidRPr="001C206A">
              <w:rPr>
                <w:rFonts w:asciiTheme="minorHAnsi" w:hAnsiTheme="minorHAnsi"/>
              </w:rPr>
              <w:t xml:space="preserve">Destroy </w:t>
            </w:r>
            <w:r w:rsidR="00B039B0" w:rsidRPr="001C206A">
              <w:rPr>
                <w:rFonts w:asciiTheme="minorHAnsi" w:hAnsiTheme="minorHAnsi"/>
              </w:rPr>
              <w:t xml:space="preserve">7 years after receipt </w:t>
            </w:r>
            <w:r w:rsidR="0093629B" w:rsidRPr="001C206A">
              <w:rPr>
                <w:rFonts w:asciiTheme="minorHAnsi" w:hAnsiTheme="minorHAnsi"/>
              </w:rPr>
              <w:t>by the agency</w:t>
            </w:r>
            <w:r w:rsidR="00A556FB" w:rsidRPr="001C206A">
              <w:rPr>
                <w:rFonts w:asciiTheme="minorHAnsi" w:hAnsiTheme="minorHAnsi"/>
              </w:rPr>
              <w:t xml:space="preserve"> </w:t>
            </w:r>
            <w:r w:rsidR="0093629B" w:rsidRPr="001C206A">
              <w:rPr>
                <w:rFonts w:asciiTheme="minorHAnsi" w:hAnsiTheme="minorHAnsi"/>
              </w:rPr>
              <w:t xml:space="preserve">or when the related subsequent </w:t>
            </w:r>
            <w:r w:rsidR="00843D89" w:rsidRPr="001C206A">
              <w:rPr>
                <w:rFonts w:asciiTheme="minorHAnsi" w:hAnsiTheme="minorHAnsi"/>
              </w:rPr>
              <w:t>OGE Form 278 (SF 278)</w:t>
            </w:r>
            <w:r w:rsidR="0093629B" w:rsidRPr="001C206A">
              <w:rPr>
                <w:rFonts w:asciiTheme="minorHAnsi" w:hAnsiTheme="minorHAnsi"/>
              </w:rPr>
              <w:t xml:space="preserve"> is ready for destruction 6 years later</w:t>
            </w:r>
            <w:r w:rsidR="00D34117" w:rsidRPr="001C206A">
              <w:rPr>
                <w:rFonts w:asciiTheme="minorHAnsi" w:hAnsiTheme="minorHAnsi"/>
              </w:rPr>
              <w:t xml:space="preserve">. The reports may be retained longer if </w:t>
            </w:r>
            <w:r w:rsidR="0093629B" w:rsidRPr="001C206A">
              <w:t>needed for active investigation</w:t>
            </w:r>
            <w:r w:rsidR="00B77C17" w:rsidRPr="001C206A">
              <w:t>.</w:t>
            </w:r>
            <w:r w:rsidR="00922177" w:rsidRPr="001C206A">
              <w:t xml:space="preserve">  This disposition instruction is mandatory; deviations are not allowed.</w:t>
            </w:r>
          </w:p>
          <w:p w14:paraId="4613170E" w14:textId="77777777" w:rsidR="009710AF" w:rsidRPr="001C206A" w:rsidRDefault="009710AF" w:rsidP="00D34117">
            <w:pPr>
              <w:spacing w:after="0" w:line="240" w:lineRule="auto"/>
              <w:rPr>
                <w:rFonts w:asciiTheme="minorHAnsi" w:hAnsiTheme="minorHAnsi"/>
                <w:b/>
              </w:rPr>
            </w:pPr>
          </w:p>
        </w:tc>
        <w:tc>
          <w:tcPr>
            <w:tcW w:w="1260" w:type="dxa"/>
          </w:tcPr>
          <w:p w14:paraId="65685963" w14:textId="77777777" w:rsidR="00B912C6" w:rsidRPr="00127279" w:rsidRDefault="00C72FF2" w:rsidP="003657A0">
            <w:pPr>
              <w:spacing w:after="0" w:line="240" w:lineRule="auto"/>
              <w:rPr>
                <w:rFonts w:asciiTheme="minorHAnsi" w:hAnsiTheme="minorHAnsi" w:cstheme="minorHAnsi"/>
              </w:rPr>
            </w:pPr>
            <w:r w:rsidRPr="00127279">
              <w:rPr>
                <w:rFonts w:asciiTheme="minorHAnsi" w:hAnsiTheme="minorHAnsi" w:cstheme="minorHAnsi"/>
              </w:rPr>
              <w:t>DAA-GRS-2014-0005-0009</w:t>
            </w:r>
          </w:p>
        </w:tc>
      </w:tr>
      <w:tr w:rsidR="00B912C6" w:rsidRPr="00761183" w14:paraId="540F8DFC" w14:textId="77777777" w:rsidTr="009710AF">
        <w:trPr>
          <w:trHeight w:val="874"/>
        </w:trPr>
        <w:tc>
          <w:tcPr>
            <w:tcW w:w="727" w:type="dxa"/>
          </w:tcPr>
          <w:p w14:paraId="2329FE3B" w14:textId="77777777" w:rsidR="00B912C6" w:rsidRDefault="00B912C6" w:rsidP="007C6BD5">
            <w:pPr>
              <w:spacing w:after="0" w:line="240" w:lineRule="auto"/>
              <w:jc w:val="center"/>
              <w:rPr>
                <w:rFonts w:asciiTheme="minorHAnsi" w:hAnsiTheme="minorHAnsi"/>
              </w:rPr>
            </w:pPr>
            <w:r w:rsidRPr="00B912C6">
              <w:rPr>
                <w:rFonts w:asciiTheme="minorHAnsi" w:hAnsiTheme="minorHAnsi"/>
              </w:rPr>
              <w:lastRenderedPageBreak/>
              <w:t>063</w:t>
            </w:r>
          </w:p>
        </w:tc>
        <w:tc>
          <w:tcPr>
            <w:tcW w:w="2430" w:type="dxa"/>
            <w:gridSpan w:val="2"/>
            <w:vMerge/>
          </w:tcPr>
          <w:p w14:paraId="1D0AD868" w14:textId="77777777" w:rsidR="00B912C6" w:rsidRPr="00E26A01" w:rsidRDefault="00B912C6" w:rsidP="007C6BD5">
            <w:pPr>
              <w:spacing w:after="0" w:line="240" w:lineRule="auto"/>
              <w:rPr>
                <w:rFonts w:asciiTheme="minorHAnsi" w:hAnsiTheme="minorHAnsi"/>
                <w:b/>
              </w:rPr>
            </w:pPr>
          </w:p>
        </w:tc>
        <w:tc>
          <w:tcPr>
            <w:tcW w:w="7020" w:type="dxa"/>
            <w:gridSpan w:val="2"/>
          </w:tcPr>
          <w:p w14:paraId="441CBF62" w14:textId="77777777" w:rsidR="005F7B82" w:rsidRDefault="00642BD9" w:rsidP="00B912C6">
            <w:pPr>
              <w:spacing w:after="0" w:line="240" w:lineRule="auto"/>
              <w:rPr>
                <w:rFonts w:asciiTheme="minorHAnsi" w:hAnsiTheme="minorHAnsi"/>
                <w:b/>
              </w:rPr>
            </w:pPr>
            <w:r w:rsidRPr="00642BD9">
              <w:rPr>
                <w:b/>
              </w:rPr>
              <w:t>Request</w:t>
            </w:r>
            <w:r>
              <w:rPr>
                <w:b/>
              </w:rPr>
              <w:t>s</w:t>
            </w:r>
            <w:r w:rsidR="00830349">
              <w:rPr>
                <w:b/>
              </w:rPr>
              <w:t xml:space="preserve"> to inspect or receive c</w:t>
            </w:r>
            <w:r w:rsidRPr="00642BD9">
              <w:rPr>
                <w:b/>
              </w:rPr>
              <w:t>opies</w:t>
            </w:r>
            <w:r w:rsidR="002218BB">
              <w:rPr>
                <w:b/>
              </w:rPr>
              <w:t xml:space="preserve"> of</w:t>
            </w:r>
            <w:r w:rsidRPr="00642BD9">
              <w:rPr>
                <w:b/>
              </w:rPr>
              <w:t xml:space="preserve"> </w:t>
            </w:r>
            <w:r w:rsidR="00830349">
              <w:rPr>
                <w:b/>
              </w:rPr>
              <w:t>executive branch personnel public financial disclosure r</w:t>
            </w:r>
            <w:r w:rsidR="0044673A" w:rsidRPr="00C5023A">
              <w:rPr>
                <w:b/>
              </w:rPr>
              <w:t xml:space="preserve">eports </w:t>
            </w:r>
            <w:r w:rsidR="00830349">
              <w:rPr>
                <w:b/>
              </w:rPr>
              <w:t>or other covered r</w:t>
            </w:r>
            <w:r w:rsidRPr="00C5023A">
              <w:rPr>
                <w:b/>
              </w:rPr>
              <w:t>ecords</w:t>
            </w:r>
            <w:r w:rsidR="00B912C6" w:rsidRPr="00C5023A">
              <w:rPr>
                <w:rFonts w:asciiTheme="minorHAnsi" w:hAnsiTheme="minorHAnsi"/>
                <w:b/>
              </w:rPr>
              <w:t xml:space="preserve"> (OGE Form 201 or agency equivalent form). </w:t>
            </w:r>
          </w:p>
          <w:p w14:paraId="1DE6F5E2" w14:textId="77777777" w:rsidR="00091F53" w:rsidRDefault="00091F53" w:rsidP="00B912C6">
            <w:pPr>
              <w:spacing w:after="0" w:line="240" w:lineRule="auto"/>
              <w:rPr>
                <w:rFonts w:asciiTheme="minorHAnsi" w:hAnsiTheme="minorHAnsi"/>
                <w:b/>
              </w:rPr>
            </w:pPr>
          </w:p>
          <w:p w14:paraId="4073AC6E" w14:textId="77777777" w:rsidR="00091F53" w:rsidRPr="00091F53" w:rsidRDefault="00091F53" w:rsidP="00091F53">
            <w:pPr>
              <w:spacing w:after="0" w:line="240" w:lineRule="auto"/>
              <w:ind w:left="331"/>
              <w:rPr>
                <w:rFonts w:asciiTheme="minorHAnsi" w:hAnsiTheme="minorHAnsi"/>
              </w:rPr>
            </w:pPr>
            <w:r>
              <w:rPr>
                <w:rFonts w:asciiTheme="minorHAnsi" w:hAnsiTheme="minorHAnsi"/>
                <w:b/>
              </w:rPr>
              <w:t>Legal Citation:</w:t>
            </w:r>
            <w:r>
              <w:rPr>
                <w:rFonts w:asciiTheme="minorHAnsi" w:hAnsiTheme="minorHAnsi"/>
              </w:rPr>
              <w:t xml:space="preserve"> </w:t>
            </w:r>
            <w:r w:rsidR="001E6EA4" w:rsidRPr="001E6EA4">
              <w:rPr>
                <w:rFonts w:asciiTheme="minorHAnsi" w:hAnsiTheme="minorHAnsi"/>
                <w:bCs/>
              </w:rPr>
              <w:t>5 U.S.C. app.</w:t>
            </w:r>
            <w:r w:rsidR="001E6EA4" w:rsidRPr="001E6EA4">
              <w:rPr>
                <w:rFonts w:asciiTheme="minorHAnsi" w:hAnsiTheme="minorHAnsi"/>
              </w:rPr>
              <w:t> </w:t>
            </w:r>
            <w:r w:rsidR="001E6EA4" w:rsidRPr="001E6EA4">
              <w:rPr>
                <w:rFonts w:asciiTheme="minorHAnsi" w:hAnsiTheme="minorHAnsi"/>
                <w:bCs/>
              </w:rPr>
              <w:t>section 105(b)(2)</w:t>
            </w:r>
          </w:p>
          <w:p w14:paraId="30AABCD2" w14:textId="77777777" w:rsidR="006725CA" w:rsidRDefault="006725CA" w:rsidP="00B912C6">
            <w:pPr>
              <w:spacing w:after="0" w:line="240" w:lineRule="auto"/>
              <w:rPr>
                <w:rFonts w:asciiTheme="minorHAnsi" w:hAnsiTheme="minorHAnsi"/>
                <w:b/>
              </w:rPr>
            </w:pPr>
          </w:p>
          <w:p w14:paraId="211A9B5C" w14:textId="77777777" w:rsidR="006725CA" w:rsidRPr="00AF3E01" w:rsidRDefault="006725CA" w:rsidP="00B912C6">
            <w:pPr>
              <w:spacing w:after="0" w:line="240" w:lineRule="auto"/>
              <w:rPr>
                <w:rFonts w:asciiTheme="minorHAnsi" w:hAnsiTheme="minorHAnsi"/>
                <w:b/>
              </w:rPr>
            </w:pPr>
          </w:p>
        </w:tc>
        <w:tc>
          <w:tcPr>
            <w:tcW w:w="2970" w:type="dxa"/>
          </w:tcPr>
          <w:p w14:paraId="14C6CE73" w14:textId="77777777" w:rsidR="00B912C6" w:rsidRPr="001C206A" w:rsidRDefault="00B912C6" w:rsidP="003657A0">
            <w:pPr>
              <w:spacing w:after="0" w:line="240" w:lineRule="auto"/>
            </w:pPr>
            <w:r w:rsidRPr="001C206A">
              <w:rPr>
                <w:b/>
              </w:rPr>
              <w:t xml:space="preserve">Temporary. </w:t>
            </w:r>
            <w:r w:rsidR="00A31699" w:rsidRPr="001C206A">
              <w:rPr>
                <w:b/>
              </w:rPr>
              <w:t xml:space="preserve"> </w:t>
            </w:r>
            <w:r w:rsidRPr="001C206A">
              <w:t xml:space="preserve">Destroy when the requested report is destroyed. </w:t>
            </w:r>
            <w:r w:rsidR="00AC7067" w:rsidRPr="001C206A">
              <w:t>This disposition instruction is mandatory; deviations are not allowed.</w:t>
            </w:r>
          </w:p>
          <w:p w14:paraId="29EAC3D5" w14:textId="77777777" w:rsidR="009710AF" w:rsidRPr="001C206A" w:rsidRDefault="009710AF" w:rsidP="003657A0">
            <w:pPr>
              <w:spacing w:after="0" w:line="240" w:lineRule="auto"/>
              <w:rPr>
                <w:b/>
              </w:rPr>
            </w:pPr>
          </w:p>
        </w:tc>
        <w:tc>
          <w:tcPr>
            <w:tcW w:w="1260" w:type="dxa"/>
          </w:tcPr>
          <w:p w14:paraId="2E6782BE" w14:textId="77777777" w:rsidR="00B912C6" w:rsidRPr="00AF3E01" w:rsidRDefault="00CF6E54" w:rsidP="003657A0">
            <w:pPr>
              <w:spacing w:after="0" w:line="240" w:lineRule="auto"/>
              <w:rPr>
                <w:rFonts w:asciiTheme="minorHAnsi" w:hAnsiTheme="minorHAnsi" w:cstheme="minorHAnsi"/>
              </w:rPr>
            </w:pPr>
            <w:r w:rsidRPr="00AF3E01">
              <w:rPr>
                <w:rFonts w:asciiTheme="minorHAnsi" w:hAnsiTheme="minorHAnsi" w:cstheme="minorHAnsi"/>
              </w:rPr>
              <w:t>DAA-GRS-2014-0005-0010</w:t>
            </w:r>
          </w:p>
        </w:tc>
      </w:tr>
      <w:tr w:rsidR="00675640" w:rsidRPr="00761183" w14:paraId="77794FB7" w14:textId="77777777" w:rsidTr="009710AF">
        <w:trPr>
          <w:trHeight w:val="1369"/>
        </w:trPr>
        <w:tc>
          <w:tcPr>
            <w:tcW w:w="727" w:type="dxa"/>
          </w:tcPr>
          <w:p w14:paraId="73C6EA04" w14:textId="77777777" w:rsidR="00675640" w:rsidRDefault="00675640" w:rsidP="007C6BD5">
            <w:pPr>
              <w:spacing w:after="0" w:line="240" w:lineRule="auto"/>
              <w:jc w:val="center"/>
              <w:rPr>
                <w:rFonts w:asciiTheme="minorHAnsi" w:hAnsiTheme="minorHAnsi"/>
              </w:rPr>
            </w:pPr>
            <w:r>
              <w:rPr>
                <w:rFonts w:asciiTheme="minorHAnsi" w:hAnsiTheme="minorHAnsi"/>
              </w:rPr>
              <w:t>070</w:t>
            </w:r>
          </w:p>
        </w:tc>
        <w:tc>
          <w:tcPr>
            <w:tcW w:w="2430" w:type="dxa"/>
            <w:gridSpan w:val="2"/>
            <w:vMerge w:val="restart"/>
          </w:tcPr>
          <w:p w14:paraId="310C83C1" w14:textId="77777777" w:rsidR="00F4198B" w:rsidRPr="00F4198B" w:rsidRDefault="00F4198B" w:rsidP="007C6BD5">
            <w:pPr>
              <w:spacing w:after="0" w:line="240" w:lineRule="auto"/>
              <w:rPr>
                <w:rFonts w:asciiTheme="minorHAnsi" w:hAnsiTheme="minorHAnsi"/>
                <w:b/>
              </w:rPr>
            </w:pPr>
            <w:r w:rsidRPr="00F4198B">
              <w:rPr>
                <w:rFonts w:asciiTheme="minorHAnsi" w:hAnsiTheme="minorHAnsi"/>
                <w:b/>
              </w:rPr>
              <w:t>C</w:t>
            </w:r>
            <w:r w:rsidR="00272E56">
              <w:rPr>
                <w:rFonts w:asciiTheme="minorHAnsi" w:hAnsiTheme="minorHAnsi"/>
                <w:b/>
              </w:rPr>
              <w:t>onfidential financial disclosure r</w:t>
            </w:r>
            <w:r w:rsidRPr="00F4198B">
              <w:rPr>
                <w:rFonts w:asciiTheme="minorHAnsi" w:hAnsiTheme="minorHAnsi"/>
                <w:b/>
              </w:rPr>
              <w:t>eports</w:t>
            </w:r>
            <w:r w:rsidR="00272E56">
              <w:rPr>
                <w:rFonts w:asciiTheme="minorHAnsi" w:hAnsiTheme="minorHAnsi"/>
                <w:b/>
              </w:rPr>
              <w:t>.</w:t>
            </w:r>
          </w:p>
          <w:p w14:paraId="482756F5" w14:textId="77777777" w:rsidR="00675640" w:rsidRPr="00F4198B" w:rsidRDefault="00675640" w:rsidP="00082D9B">
            <w:pPr>
              <w:spacing w:after="0" w:line="240" w:lineRule="auto"/>
              <w:ind w:left="335"/>
              <w:rPr>
                <w:rFonts w:asciiTheme="minorHAnsi" w:hAnsiTheme="minorHAnsi"/>
              </w:rPr>
            </w:pPr>
            <w:r w:rsidRPr="00F4198B">
              <w:rPr>
                <w:rFonts w:asciiTheme="minorHAnsi" w:hAnsiTheme="minorHAnsi"/>
              </w:rPr>
              <w:t xml:space="preserve">Executive Branch Confidential Financial Disclosure Reports (OGE Form </w:t>
            </w:r>
            <w:r w:rsidRPr="00D63F3A">
              <w:rPr>
                <w:rFonts w:asciiTheme="minorHAnsi" w:hAnsiTheme="minorHAnsi"/>
              </w:rPr>
              <w:t>450) and Confidential Certificates of No New Interests (OGE Optional Form 450-A), and related records.</w:t>
            </w:r>
          </w:p>
        </w:tc>
        <w:tc>
          <w:tcPr>
            <w:tcW w:w="7020" w:type="dxa"/>
            <w:gridSpan w:val="2"/>
          </w:tcPr>
          <w:p w14:paraId="283FD8A9" w14:textId="77777777" w:rsidR="00AF3E01" w:rsidRPr="00573277" w:rsidRDefault="00F01B32" w:rsidP="00AF3E01">
            <w:pPr>
              <w:spacing w:after="0" w:line="240" w:lineRule="auto"/>
              <w:rPr>
                <w:i/>
              </w:rPr>
            </w:pPr>
            <w:r>
              <w:rPr>
                <w:rFonts w:asciiTheme="minorHAnsi" w:hAnsiTheme="minorHAnsi"/>
                <w:b/>
              </w:rPr>
              <w:t>R</w:t>
            </w:r>
            <w:r w:rsidR="00675640" w:rsidRPr="008B0109">
              <w:rPr>
                <w:rFonts w:asciiTheme="minorHAnsi" w:hAnsiTheme="minorHAnsi"/>
                <w:b/>
              </w:rPr>
              <w:t xml:space="preserve">eports </w:t>
            </w:r>
            <w:r w:rsidR="00675640" w:rsidRPr="00E26A01">
              <w:rPr>
                <w:rFonts w:asciiTheme="minorHAnsi" w:hAnsiTheme="minorHAnsi"/>
                <w:b/>
              </w:rPr>
              <w:t>for individuals not subsequently confirmed by the U.S. Senate.</w:t>
            </w:r>
          </w:p>
          <w:p w14:paraId="34679533" w14:textId="77777777" w:rsidR="00675640" w:rsidRDefault="00675640" w:rsidP="001C206A">
            <w:pPr>
              <w:spacing w:after="0" w:line="240" w:lineRule="auto"/>
            </w:pPr>
          </w:p>
          <w:p w14:paraId="04D39C26" w14:textId="77777777" w:rsidR="00266BAB" w:rsidRPr="00266BAB" w:rsidRDefault="00266BAB" w:rsidP="001C206A">
            <w:pPr>
              <w:spacing w:after="0" w:line="240" w:lineRule="auto"/>
              <w:ind w:left="331"/>
            </w:pPr>
            <w:r w:rsidRPr="00266BAB">
              <w:rPr>
                <w:b/>
              </w:rPr>
              <w:t>Legal Citation</w:t>
            </w:r>
            <w:r>
              <w:rPr>
                <w:b/>
              </w:rPr>
              <w:t>:</w:t>
            </w:r>
            <w:r w:rsidR="00091F53">
              <w:t xml:space="preserve"> </w:t>
            </w:r>
            <w:r>
              <w:rPr>
                <w:rFonts w:asciiTheme="minorHAnsi" w:hAnsiTheme="minorHAnsi"/>
              </w:rPr>
              <w:t xml:space="preserve">5 CFR </w:t>
            </w:r>
            <w:r w:rsidRPr="00C9265D">
              <w:rPr>
                <w:rFonts w:asciiTheme="minorHAnsi" w:hAnsiTheme="minorHAnsi"/>
              </w:rPr>
              <w:t>2634</w:t>
            </w:r>
            <w:r>
              <w:rPr>
                <w:rFonts w:asciiTheme="minorHAnsi" w:hAnsiTheme="minorHAnsi"/>
              </w:rPr>
              <w:t>.604</w:t>
            </w:r>
          </w:p>
        </w:tc>
        <w:tc>
          <w:tcPr>
            <w:tcW w:w="2970" w:type="dxa"/>
          </w:tcPr>
          <w:p w14:paraId="451A1062" w14:textId="77777777" w:rsidR="009710AF" w:rsidRPr="009E3100" w:rsidRDefault="00675640" w:rsidP="007C6BD5">
            <w:pPr>
              <w:spacing w:after="0" w:line="240" w:lineRule="auto"/>
            </w:pPr>
            <w:r w:rsidRPr="001C206A">
              <w:rPr>
                <w:b/>
              </w:rPr>
              <w:t>Temporary.</w:t>
            </w:r>
            <w:r w:rsidRPr="001C206A">
              <w:t xml:space="preserve"> </w:t>
            </w:r>
            <w:r w:rsidR="00A31699" w:rsidRPr="001C206A">
              <w:t xml:space="preserve"> </w:t>
            </w:r>
            <w:r w:rsidRPr="001C206A">
              <w:t xml:space="preserve">Destroy 1 year after nominee ceases to be under consideration </w:t>
            </w:r>
            <w:r w:rsidR="008B2557" w:rsidRPr="001C206A">
              <w:t xml:space="preserve">for the position </w:t>
            </w:r>
            <w:r w:rsidRPr="001C206A">
              <w:t xml:space="preserve">or when no longer </w:t>
            </w:r>
            <w:r w:rsidR="00F52152" w:rsidRPr="001C206A">
              <w:t>needed for active investigation</w:t>
            </w:r>
            <w:r w:rsidR="0006310C" w:rsidRPr="001C206A">
              <w:t>,</w:t>
            </w:r>
            <w:r w:rsidR="00F52152" w:rsidRPr="001C206A">
              <w:t xml:space="preserve"> whichever is later.</w:t>
            </w:r>
            <w:r w:rsidR="00922177" w:rsidRPr="001C206A">
              <w:t xml:space="preserve">  This disposition instruction is mandatory; deviations are not allowed.</w:t>
            </w:r>
          </w:p>
        </w:tc>
        <w:tc>
          <w:tcPr>
            <w:tcW w:w="1260" w:type="dxa"/>
          </w:tcPr>
          <w:p w14:paraId="13F34A62" w14:textId="77777777" w:rsidR="00675640" w:rsidRPr="0062504F" w:rsidRDefault="00BA3C92" w:rsidP="007C6BD5">
            <w:pPr>
              <w:spacing w:after="0" w:line="240" w:lineRule="auto"/>
              <w:rPr>
                <w:rFonts w:asciiTheme="minorHAnsi" w:hAnsiTheme="minorHAnsi"/>
              </w:rPr>
            </w:pPr>
            <w:r w:rsidRPr="00127279">
              <w:rPr>
                <w:rFonts w:asciiTheme="minorHAnsi" w:hAnsiTheme="minorHAnsi" w:cstheme="minorHAnsi"/>
              </w:rPr>
              <w:t>DAA-GRS-2014-0005-</w:t>
            </w:r>
            <w:r w:rsidR="00675640">
              <w:rPr>
                <w:rFonts w:asciiTheme="minorHAnsi" w:hAnsiTheme="minorHAnsi" w:cstheme="minorHAnsi"/>
              </w:rPr>
              <w:t>001</w:t>
            </w:r>
            <w:r w:rsidR="00BF6D7A">
              <w:rPr>
                <w:rFonts w:asciiTheme="minorHAnsi" w:hAnsiTheme="minorHAnsi" w:cstheme="minorHAnsi"/>
              </w:rPr>
              <w:t>1</w:t>
            </w:r>
          </w:p>
        </w:tc>
      </w:tr>
      <w:tr w:rsidR="001611C4" w:rsidRPr="00761183" w14:paraId="24261AC5" w14:textId="77777777" w:rsidTr="009E3100">
        <w:trPr>
          <w:trHeight w:val="271"/>
        </w:trPr>
        <w:tc>
          <w:tcPr>
            <w:tcW w:w="727" w:type="dxa"/>
          </w:tcPr>
          <w:p w14:paraId="03F40F94" w14:textId="77777777" w:rsidR="001611C4" w:rsidRDefault="001611C4" w:rsidP="007C6BD5">
            <w:pPr>
              <w:spacing w:after="0" w:line="240" w:lineRule="auto"/>
              <w:jc w:val="center"/>
              <w:rPr>
                <w:rFonts w:asciiTheme="minorHAnsi" w:hAnsiTheme="minorHAnsi"/>
              </w:rPr>
            </w:pPr>
            <w:r>
              <w:rPr>
                <w:rFonts w:asciiTheme="minorHAnsi" w:hAnsiTheme="minorHAnsi"/>
              </w:rPr>
              <w:t>07</w:t>
            </w:r>
            <w:r w:rsidR="00671AD4">
              <w:rPr>
                <w:rFonts w:asciiTheme="minorHAnsi" w:hAnsiTheme="minorHAnsi"/>
              </w:rPr>
              <w:t>1</w:t>
            </w:r>
          </w:p>
        </w:tc>
        <w:tc>
          <w:tcPr>
            <w:tcW w:w="2430" w:type="dxa"/>
            <w:gridSpan w:val="2"/>
            <w:vMerge/>
          </w:tcPr>
          <w:p w14:paraId="45064A0D" w14:textId="77777777" w:rsidR="001611C4" w:rsidRPr="00F4198B" w:rsidRDefault="001611C4" w:rsidP="007C6BD5">
            <w:pPr>
              <w:spacing w:after="0" w:line="240" w:lineRule="auto"/>
              <w:rPr>
                <w:rFonts w:asciiTheme="minorHAnsi" w:hAnsiTheme="minorHAnsi"/>
                <w:b/>
              </w:rPr>
            </w:pPr>
          </w:p>
        </w:tc>
        <w:tc>
          <w:tcPr>
            <w:tcW w:w="7020" w:type="dxa"/>
            <w:gridSpan w:val="2"/>
          </w:tcPr>
          <w:p w14:paraId="1D53B1C9" w14:textId="77777777" w:rsidR="00C92B8B" w:rsidRDefault="005332C7" w:rsidP="00C92B8B">
            <w:pPr>
              <w:spacing w:after="0" w:line="240" w:lineRule="auto"/>
              <w:rPr>
                <w:rFonts w:asciiTheme="minorHAnsi" w:hAnsiTheme="minorHAnsi"/>
                <w:b/>
              </w:rPr>
            </w:pPr>
            <w:r>
              <w:rPr>
                <w:rFonts w:asciiTheme="minorHAnsi" w:hAnsiTheme="minorHAnsi"/>
                <w:b/>
              </w:rPr>
              <w:t xml:space="preserve">All other </w:t>
            </w:r>
            <w:r w:rsidR="001611C4" w:rsidRPr="008B0109">
              <w:rPr>
                <w:rFonts w:asciiTheme="minorHAnsi" w:hAnsiTheme="minorHAnsi"/>
                <w:b/>
              </w:rPr>
              <w:t>reports.</w:t>
            </w:r>
          </w:p>
          <w:p w14:paraId="2ED8366D" w14:textId="77777777" w:rsidR="00FA08C5" w:rsidRDefault="00FA08C5" w:rsidP="00C92B8B">
            <w:pPr>
              <w:spacing w:after="0" w:line="240" w:lineRule="auto"/>
              <w:rPr>
                <w:rFonts w:asciiTheme="minorHAnsi" w:hAnsiTheme="minorHAnsi"/>
                <w:b/>
              </w:rPr>
            </w:pPr>
          </w:p>
          <w:p w14:paraId="37ACB53C" w14:textId="77777777" w:rsidR="00AF3E01" w:rsidRPr="00C14B6C" w:rsidRDefault="00FA08C5" w:rsidP="00447E43">
            <w:pPr>
              <w:spacing w:after="0" w:line="240" w:lineRule="auto"/>
              <w:ind w:left="335"/>
              <w:rPr>
                <w:rFonts w:asciiTheme="minorHAnsi" w:hAnsiTheme="minorHAnsi"/>
              </w:rPr>
            </w:pPr>
            <w:r>
              <w:rPr>
                <w:rFonts w:asciiTheme="minorHAnsi" w:hAnsiTheme="minorHAnsi"/>
                <w:b/>
              </w:rPr>
              <w:t xml:space="preserve">Legal Citation: </w:t>
            </w:r>
            <w:r>
              <w:rPr>
                <w:rFonts w:asciiTheme="minorHAnsi" w:hAnsiTheme="minorHAnsi"/>
              </w:rPr>
              <w:t xml:space="preserve">5 CFR </w:t>
            </w:r>
            <w:r w:rsidRPr="00C9265D">
              <w:rPr>
                <w:rFonts w:asciiTheme="minorHAnsi" w:hAnsiTheme="minorHAnsi"/>
              </w:rPr>
              <w:t>2634</w:t>
            </w:r>
            <w:r>
              <w:rPr>
                <w:rFonts w:asciiTheme="minorHAnsi" w:hAnsiTheme="minorHAnsi"/>
              </w:rPr>
              <w:t>.604</w:t>
            </w:r>
          </w:p>
          <w:p w14:paraId="77B19D21" w14:textId="77777777" w:rsidR="0044673A" w:rsidRPr="00C5023A" w:rsidRDefault="001611C4" w:rsidP="003657A0">
            <w:pPr>
              <w:spacing w:after="0" w:line="240" w:lineRule="auto"/>
              <w:rPr>
                <w:rFonts w:asciiTheme="minorHAnsi" w:hAnsiTheme="minorHAnsi"/>
              </w:rPr>
            </w:pPr>
            <w:r w:rsidRPr="00C14B6C">
              <w:rPr>
                <w:rFonts w:asciiTheme="minorHAnsi" w:hAnsiTheme="minorHAnsi"/>
              </w:rPr>
              <w:t xml:space="preserve"> </w:t>
            </w:r>
          </w:p>
        </w:tc>
        <w:tc>
          <w:tcPr>
            <w:tcW w:w="2970" w:type="dxa"/>
          </w:tcPr>
          <w:p w14:paraId="73E5EF20" w14:textId="77777777" w:rsidR="009710AF" w:rsidRPr="001C206A" w:rsidRDefault="001611C4" w:rsidP="009E3100">
            <w:pPr>
              <w:spacing w:after="0" w:line="240" w:lineRule="auto"/>
            </w:pPr>
            <w:r w:rsidRPr="001C206A">
              <w:rPr>
                <w:b/>
              </w:rPr>
              <w:t>Temporary.</w:t>
            </w:r>
            <w:r w:rsidRPr="001C206A">
              <w:t xml:space="preserve"> </w:t>
            </w:r>
            <w:r w:rsidR="00F535AA" w:rsidRPr="001C206A">
              <w:t xml:space="preserve"> </w:t>
            </w:r>
            <w:r w:rsidR="001072B2" w:rsidRPr="001C206A">
              <w:rPr>
                <w:rFonts w:asciiTheme="minorHAnsi" w:hAnsiTheme="minorHAnsi"/>
              </w:rPr>
              <w:t xml:space="preserve">Destroy 6 years after </w:t>
            </w:r>
            <w:r w:rsidR="00A236F6" w:rsidRPr="001C206A">
              <w:rPr>
                <w:rFonts w:asciiTheme="minorHAnsi" w:hAnsiTheme="minorHAnsi"/>
              </w:rPr>
              <w:t xml:space="preserve">receipt of </w:t>
            </w:r>
            <w:r w:rsidR="001072B2" w:rsidRPr="001C206A">
              <w:rPr>
                <w:rFonts w:asciiTheme="minorHAnsi" w:hAnsiTheme="minorHAnsi"/>
              </w:rPr>
              <w:t>the OGE Form 450</w:t>
            </w:r>
            <w:r w:rsidR="00FD7346" w:rsidRPr="001C206A">
              <w:rPr>
                <w:rFonts w:asciiTheme="minorHAnsi" w:hAnsiTheme="minorHAnsi"/>
              </w:rPr>
              <w:t xml:space="preserve"> by the agency</w:t>
            </w:r>
            <w:r w:rsidR="001072B2" w:rsidRPr="001C206A">
              <w:rPr>
                <w:rFonts w:asciiTheme="minorHAnsi" w:hAnsiTheme="minorHAnsi"/>
              </w:rPr>
              <w:t>, except when the OGE Form 450 supports one or more subsequent Optional OGE Form 450-As</w:t>
            </w:r>
            <w:r w:rsidR="00C827CA" w:rsidRPr="001C206A">
              <w:rPr>
                <w:rFonts w:asciiTheme="minorHAnsi" w:hAnsiTheme="minorHAnsi"/>
              </w:rPr>
              <w:t xml:space="preserve"> </w:t>
            </w:r>
            <w:r w:rsidR="001072B2" w:rsidRPr="001C206A">
              <w:rPr>
                <w:rFonts w:asciiTheme="minorHAnsi" w:hAnsiTheme="minorHAnsi"/>
              </w:rPr>
              <w:t xml:space="preserve">then destroy </w:t>
            </w:r>
            <w:r w:rsidR="00A236F6" w:rsidRPr="001C206A">
              <w:rPr>
                <w:rFonts w:asciiTheme="minorHAnsi" w:hAnsiTheme="minorHAnsi"/>
              </w:rPr>
              <w:t xml:space="preserve">6 years after receipt </w:t>
            </w:r>
            <w:r w:rsidR="001072B2" w:rsidRPr="001C206A">
              <w:rPr>
                <w:rFonts w:asciiTheme="minorHAnsi" w:hAnsiTheme="minorHAnsi"/>
              </w:rPr>
              <w:t>of</w:t>
            </w:r>
            <w:r w:rsidR="00B36AF1" w:rsidRPr="001C206A">
              <w:rPr>
                <w:rFonts w:asciiTheme="minorHAnsi" w:hAnsiTheme="minorHAnsi"/>
              </w:rPr>
              <w:t xml:space="preserve"> </w:t>
            </w:r>
            <w:r w:rsidR="001072B2" w:rsidRPr="001C206A">
              <w:rPr>
                <w:rFonts w:asciiTheme="minorHAnsi" w:hAnsiTheme="minorHAnsi"/>
              </w:rPr>
              <w:t>the last related OGE Form 450-A</w:t>
            </w:r>
            <w:r w:rsidR="004F1EB7" w:rsidRPr="001C206A">
              <w:rPr>
                <w:rFonts w:asciiTheme="minorHAnsi" w:hAnsiTheme="minorHAnsi"/>
              </w:rPr>
              <w:t xml:space="preserve"> by the agency</w:t>
            </w:r>
            <w:r w:rsidR="001072B2" w:rsidRPr="001C206A">
              <w:rPr>
                <w:rFonts w:asciiTheme="minorHAnsi" w:hAnsiTheme="minorHAnsi"/>
              </w:rPr>
              <w:t>, or when no longer needed for active investigation</w:t>
            </w:r>
            <w:r w:rsidR="00C92B8B" w:rsidRPr="001C206A">
              <w:rPr>
                <w:rFonts w:asciiTheme="minorHAnsi" w:hAnsiTheme="minorHAnsi"/>
              </w:rPr>
              <w:t>,</w:t>
            </w:r>
            <w:r w:rsidR="00324B55" w:rsidRPr="001C206A">
              <w:rPr>
                <w:rFonts w:asciiTheme="minorHAnsi" w:hAnsiTheme="minorHAnsi"/>
              </w:rPr>
              <w:t xml:space="preserve"> </w:t>
            </w:r>
            <w:r w:rsidR="001072B2" w:rsidRPr="001C206A">
              <w:rPr>
                <w:rFonts w:asciiTheme="minorHAnsi" w:hAnsiTheme="minorHAnsi"/>
              </w:rPr>
              <w:t>whichever is later.</w:t>
            </w:r>
            <w:r w:rsidR="00AC7067" w:rsidRPr="001C206A">
              <w:rPr>
                <w:rFonts w:asciiTheme="minorHAnsi" w:hAnsiTheme="minorHAnsi"/>
              </w:rPr>
              <w:t xml:space="preserve">  This disposition instruction is mandatory; deviations are not allowed.</w:t>
            </w:r>
          </w:p>
        </w:tc>
        <w:tc>
          <w:tcPr>
            <w:tcW w:w="1260" w:type="dxa"/>
          </w:tcPr>
          <w:p w14:paraId="57138D71" w14:textId="77777777" w:rsidR="001611C4" w:rsidRPr="00D52645" w:rsidRDefault="001611C4" w:rsidP="003657A0">
            <w:pPr>
              <w:spacing w:after="0" w:line="240" w:lineRule="auto"/>
              <w:rPr>
                <w:rFonts w:asciiTheme="minorHAnsi" w:hAnsiTheme="minorHAnsi"/>
              </w:rPr>
            </w:pPr>
            <w:r>
              <w:rPr>
                <w:rFonts w:asciiTheme="minorHAnsi" w:hAnsiTheme="minorHAnsi" w:cstheme="minorHAnsi"/>
              </w:rPr>
              <w:t xml:space="preserve"> </w:t>
            </w:r>
            <w:r w:rsidR="00E8729E" w:rsidRPr="00127279">
              <w:rPr>
                <w:rFonts w:asciiTheme="minorHAnsi" w:hAnsiTheme="minorHAnsi" w:cstheme="minorHAnsi"/>
              </w:rPr>
              <w:t>DAA-GRS-2014-0005-</w:t>
            </w:r>
            <w:r>
              <w:rPr>
                <w:rFonts w:asciiTheme="minorHAnsi" w:hAnsiTheme="minorHAnsi" w:cstheme="minorHAnsi"/>
              </w:rPr>
              <w:t>001</w:t>
            </w:r>
            <w:r w:rsidR="00671AD4">
              <w:rPr>
                <w:rFonts w:asciiTheme="minorHAnsi" w:hAnsiTheme="minorHAnsi" w:cstheme="minorHAnsi"/>
              </w:rPr>
              <w:t>2</w:t>
            </w:r>
          </w:p>
        </w:tc>
      </w:tr>
      <w:tr w:rsidR="001E1945" w:rsidRPr="00761183" w14:paraId="42DF3AA3" w14:textId="77777777" w:rsidTr="009710AF">
        <w:trPr>
          <w:trHeight w:val="1927"/>
        </w:trPr>
        <w:tc>
          <w:tcPr>
            <w:tcW w:w="727" w:type="dxa"/>
          </w:tcPr>
          <w:p w14:paraId="64DDAE90" w14:textId="77777777" w:rsidR="001E1945" w:rsidRDefault="001E1945" w:rsidP="007C6BD5">
            <w:pPr>
              <w:spacing w:after="0" w:line="240" w:lineRule="auto"/>
              <w:jc w:val="center"/>
              <w:rPr>
                <w:rFonts w:asciiTheme="minorHAnsi" w:hAnsiTheme="minorHAnsi"/>
              </w:rPr>
            </w:pPr>
            <w:r>
              <w:rPr>
                <w:rFonts w:asciiTheme="minorHAnsi" w:hAnsiTheme="minorHAnsi"/>
              </w:rPr>
              <w:lastRenderedPageBreak/>
              <w:t>07</w:t>
            </w:r>
            <w:r w:rsidR="00671AD4">
              <w:rPr>
                <w:rFonts w:asciiTheme="minorHAnsi" w:hAnsiTheme="minorHAnsi"/>
              </w:rPr>
              <w:t>2</w:t>
            </w:r>
          </w:p>
        </w:tc>
        <w:tc>
          <w:tcPr>
            <w:tcW w:w="2430" w:type="dxa"/>
            <w:gridSpan w:val="2"/>
            <w:vMerge/>
          </w:tcPr>
          <w:p w14:paraId="277EB097" w14:textId="77777777" w:rsidR="001E1945" w:rsidRPr="00F4198B" w:rsidRDefault="001E1945" w:rsidP="007C6BD5">
            <w:pPr>
              <w:spacing w:after="0" w:line="240" w:lineRule="auto"/>
              <w:rPr>
                <w:rFonts w:asciiTheme="minorHAnsi" w:hAnsiTheme="minorHAnsi"/>
                <w:b/>
              </w:rPr>
            </w:pPr>
          </w:p>
        </w:tc>
        <w:tc>
          <w:tcPr>
            <w:tcW w:w="7020" w:type="dxa"/>
            <w:gridSpan w:val="2"/>
          </w:tcPr>
          <w:p w14:paraId="4249685F" w14:textId="77777777" w:rsidR="001E1945" w:rsidRDefault="001E1945" w:rsidP="003657A0">
            <w:pPr>
              <w:spacing w:after="0" w:line="240" w:lineRule="auto"/>
              <w:rPr>
                <w:rFonts w:asciiTheme="minorHAnsi" w:hAnsiTheme="minorHAnsi"/>
                <w:b/>
              </w:rPr>
            </w:pPr>
            <w:r w:rsidRPr="00C14B6C">
              <w:rPr>
                <w:rFonts w:asciiTheme="minorHAnsi" w:hAnsiTheme="minorHAnsi"/>
                <w:b/>
              </w:rPr>
              <w:t>OGE Optional Form 450-</w:t>
            </w:r>
            <w:r w:rsidRPr="00807746">
              <w:rPr>
                <w:rFonts w:asciiTheme="minorHAnsi" w:hAnsiTheme="minorHAnsi"/>
                <w:b/>
              </w:rPr>
              <w:t>A reports.</w:t>
            </w:r>
          </w:p>
          <w:p w14:paraId="1535E459" w14:textId="77777777" w:rsidR="001E6EA4" w:rsidRDefault="001E6EA4" w:rsidP="003657A0">
            <w:pPr>
              <w:spacing w:after="0" w:line="240" w:lineRule="auto"/>
              <w:rPr>
                <w:rFonts w:asciiTheme="minorHAnsi" w:hAnsiTheme="minorHAnsi"/>
                <w:b/>
              </w:rPr>
            </w:pPr>
          </w:p>
          <w:p w14:paraId="4F85EA05" w14:textId="77777777" w:rsidR="001E6EA4" w:rsidRPr="00C14B6C" w:rsidRDefault="001E6EA4" w:rsidP="001458BD">
            <w:pPr>
              <w:spacing w:after="0" w:line="240" w:lineRule="auto"/>
              <w:ind w:left="331"/>
              <w:rPr>
                <w:rFonts w:asciiTheme="minorHAnsi" w:hAnsiTheme="minorHAnsi"/>
              </w:rPr>
            </w:pPr>
            <w:r>
              <w:rPr>
                <w:rFonts w:asciiTheme="minorHAnsi" w:hAnsiTheme="minorHAnsi"/>
                <w:b/>
              </w:rPr>
              <w:t>Legal Citation:</w:t>
            </w:r>
            <w:r w:rsidR="00EB512B">
              <w:rPr>
                <w:rFonts w:asciiTheme="minorHAnsi" w:hAnsiTheme="minorHAnsi"/>
                <w:b/>
              </w:rPr>
              <w:t xml:space="preserve"> </w:t>
            </w:r>
            <w:r>
              <w:rPr>
                <w:rFonts w:asciiTheme="minorHAnsi" w:hAnsiTheme="minorHAnsi"/>
                <w:b/>
              </w:rPr>
              <w:t xml:space="preserve"> </w:t>
            </w:r>
            <w:r>
              <w:rPr>
                <w:rFonts w:asciiTheme="minorHAnsi" w:hAnsiTheme="minorHAnsi"/>
              </w:rPr>
              <w:t xml:space="preserve">5 CFR </w:t>
            </w:r>
            <w:r w:rsidRPr="00C9265D">
              <w:rPr>
                <w:rFonts w:asciiTheme="minorHAnsi" w:hAnsiTheme="minorHAnsi"/>
              </w:rPr>
              <w:t>2634</w:t>
            </w:r>
            <w:r>
              <w:rPr>
                <w:rFonts w:asciiTheme="minorHAnsi" w:hAnsiTheme="minorHAnsi"/>
              </w:rPr>
              <w:t>.604</w:t>
            </w:r>
            <w:r w:rsidR="00EB512B">
              <w:rPr>
                <w:rFonts w:asciiTheme="minorHAnsi" w:hAnsiTheme="minorHAnsi"/>
              </w:rPr>
              <w:t xml:space="preserve">, </w:t>
            </w:r>
            <w:r w:rsidR="00EB512B" w:rsidRPr="00EB512B">
              <w:rPr>
                <w:rFonts w:asciiTheme="minorHAnsi" w:hAnsiTheme="minorHAnsi"/>
              </w:rPr>
              <w:t>5 CFR 2634.905</w:t>
            </w:r>
          </w:p>
          <w:p w14:paraId="5F6FAACA" w14:textId="77777777" w:rsidR="001E1945" w:rsidRPr="00C14B6C" w:rsidRDefault="001E1945" w:rsidP="003657A0">
            <w:pPr>
              <w:spacing w:after="0" w:line="240" w:lineRule="auto"/>
              <w:rPr>
                <w:rFonts w:asciiTheme="minorHAnsi" w:hAnsiTheme="minorHAnsi"/>
                <w:b/>
              </w:rPr>
            </w:pPr>
          </w:p>
          <w:p w14:paraId="59F7F394" w14:textId="77777777" w:rsidR="00700358" w:rsidRPr="00807746" w:rsidRDefault="001E1945" w:rsidP="00447E43">
            <w:pPr>
              <w:spacing w:after="0" w:line="240" w:lineRule="auto"/>
              <w:ind w:left="335"/>
              <w:rPr>
                <w:rFonts w:asciiTheme="minorHAnsi" w:hAnsiTheme="minorHAnsi"/>
                <w:i/>
              </w:rPr>
            </w:pPr>
            <w:r w:rsidRPr="007C6BD5">
              <w:rPr>
                <w:rFonts w:asciiTheme="minorHAnsi" w:hAnsiTheme="minorHAnsi"/>
                <w:b/>
              </w:rPr>
              <w:t>Note</w:t>
            </w:r>
            <w:r w:rsidRPr="00C14B6C">
              <w:rPr>
                <w:rFonts w:asciiTheme="minorHAnsi" w:hAnsiTheme="minorHAnsi"/>
              </w:rPr>
              <w:t xml:space="preserve">: </w:t>
            </w:r>
            <w:r>
              <w:rPr>
                <w:rFonts w:asciiTheme="minorHAnsi" w:hAnsiTheme="minorHAnsi"/>
              </w:rPr>
              <w:t xml:space="preserve"> </w:t>
            </w:r>
            <w:r w:rsidRPr="00807746">
              <w:rPr>
                <w:rFonts w:asciiTheme="minorHAnsi" w:hAnsiTheme="minorHAnsi"/>
              </w:rPr>
              <w:t>The OGE Form 450-A,  filed for up to 3 consecutive years following the filing of an OGE Form 450, is an alternative disclosure report to the OGE Form 450 when there are no new interests to be reported by the filer.  The “supporting OGE Form 450” cannot be destroyed until the last OGE Form 450-A report is ready for destruction.</w:t>
            </w:r>
          </w:p>
        </w:tc>
        <w:tc>
          <w:tcPr>
            <w:tcW w:w="2970" w:type="dxa"/>
          </w:tcPr>
          <w:p w14:paraId="184859B2" w14:textId="77777777" w:rsidR="009710AF" w:rsidRDefault="001E1945" w:rsidP="00C92B8B">
            <w:pPr>
              <w:spacing w:after="0" w:line="240" w:lineRule="auto"/>
              <w:rPr>
                <w:rFonts w:asciiTheme="minorHAnsi" w:hAnsiTheme="minorHAnsi"/>
              </w:rPr>
            </w:pPr>
            <w:r w:rsidRPr="001C206A">
              <w:rPr>
                <w:b/>
              </w:rPr>
              <w:t>Temporary.</w:t>
            </w:r>
            <w:r w:rsidRPr="001C206A">
              <w:t xml:space="preserve"> </w:t>
            </w:r>
            <w:r w:rsidR="00F535AA" w:rsidRPr="001C206A">
              <w:t xml:space="preserve"> </w:t>
            </w:r>
            <w:r w:rsidR="004B1EFE" w:rsidRPr="001C206A">
              <w:rPr>
                <w:rFonts w:asciiTheme="minorHAnsi" w:hAnsiTheme="minorHAnsi"/>
              </w:rPr>
              <w:t xml:space="preserve">Destroy 6 years </w:t>
            </w:r>
            <w:r w:rsidR="00A236F6" w:rsidRPr="001C206A">
              <w:rPr>
                <w:rFonts w:asciiTheme="minorHAnsi" w:hAnsiTheme="minorHAnsi"/>
              </w:rPr>
              <w:t xml:space="preserve">after receipt </w:t>
            </w:r>
            <w:r w:rsidR="004B1EFE" w:rsidRPr="001C206A">
              <w:rPr>
                <w:rFonts w:asciiTheme="minorHAnsi" w:hAnsiTheme="minorHAnsi"/>
              </w:rPr>
              <w:t>of the OGE Form 450-A report</w:t>
            </w:r>
            <w:r w:rsidR="004F1EB7" w:rsidRPr="001C206A">
              <w:rPr>
                <w:rFonts w:asciiTheme="minorHAnsi" w:hAnsiTheme="minorHAnsi"/>
              </w:rPr>
              <w:t xml:space="preserve"> by the agency</w:t>
            </w:r>
            <w:r w:rsidR="004B1EFE" w:rsidRPr="001C206A">
              <w:rPr>
                <w:rFonts w:asciiTheme="minorHAnsi" w:hAnsiTheme="minorHAnsi"/>
              </w:rPr>
              <w:t>, along with the associated OGE Form 450, or when no longer needed for active investigation</w:t>
            </w:r>
            <w:r w:rsidR="00C92B8B" w:rsidRPr="001C206A">
              <w:rPr>
                <w:rFonts w:asciiTheme="minorHAnsi" w:hAnsiTheme="minorHAnsi"/>
              </w:rPr>
              <w:t>,</w:t>
            </w:r>
            <w:r w:rsidR="004B1EFE" w:rsidRPr="001C206A">
              <w:rPr>
                <w:rFonts w:asciiTheme="minorHAnsi" w:hAnsiTheme="minorHAnsi"/>
              </w:rPr>
              <w:t xml:space="preserve"> whichever is later.</w:t>
            </w:r>
            <w:r w:rsidR="001E6EA4" w:rsidRPr="001C206A">
              <w:rPr>
                <w:rFonts w:asciiTheme="minorHAnsi" w:hAnsiTheme="minorHAnsi"/>
              </w:rPr>
              <w:t xml:space="preserve">  This disposition instruction is mandatory; deviations are not allowed.</w:t>
            </w:r>
          </w:p>
          <w:p w14:paraId="2AA5CED8" w14:textId="77777777" w:rsidR="009E3100" w:rsidRPr="001C206A" w:rsidRDefault="009E3100" w:rsidP="00C92B8B">
            <w:pPr>
              <w:spacing w:after="0" w:line="240" w:lineRule="auto"/>
              <w:rPr>
                <w:rFonts w:asciiTheme="minorHAnsi" w:hAnsiTheme="minorHAnsi"/>
              </w:rPr>
            </w:pPr>
          </w:p>
        </w:tc>
        <w:tc>
          <w:tcPr>
            <w:tcW w:w="1260" w:type="dxa"/>
          </w:tcPr>
          <w:p w14:paraId="35FCEB64" w14:textId="77777777" w:rsidR="001E1945" w:rsidRPr="0062504F" w:rsidRDefault="003A2624" w:rsidP="003657A0">
            <w:pPr>
              <w:spacing w:after="0" w:line="240" w:lineRule="auto"/>
              <w:rPr>
                <w:rFonts w:asciiTheme="minorHAnsi" w:hAnsiTheme="minorHAnsi"/>
              </w:rPr>
            </w:pPr>
            <w:r w:rsidRPr="00127279">
              <w:rPr>
                <w:rFonts w:asciiTheme="minorHAnsi" w:hAnsiTheme="minorHAnsi" w:cstheme="minorHAnsi"/>
              </w:rPr>
              <w:t>DAA-GRS-2014-0005-</w:t>
            </w:r>
            <w:r w:rsidR="001E1945" w:rsidRPr="00D52645">
              <w:rPr>
                <w:rFonts w:asciiTheme="minorHAnsi" w:hAnsiTheme="minorHAnsi"/>
              </w:rPr>
              <w:t>001</w:t>
            </w:r>
            <w:r w:rsidR="00671AD4">
              <w:rPr>
                <w:rFonts w:asciiTheme="minorHAnsi" w:hAnsiTheme="minorHAnsi"/>
              </w:rPr>
              <w:t>3</w:t>
            </w:r>
          </w:p>
        </w:tc>
      </w:tr>
      <w:tr w:rsidR="00675640" w:rsidRPr="00761183" w14:paraId="52732160" w14:textId="77777777" w:rsidTr="009710AF">
        <w:trPr>
          <w:trHeight w:val="1162"/>
        </w:trPr>
        <w:tc>
          <w:tcPr>
            <w:tcW w:w="727" w:type="dxa"/>
            <w:tcBorders>
              <w:top w:val="single" w:sz="4" w:space="0" w:color="auto"/>
            </w:tcBorders>
          </w:tcPr>
          <w:p w14:paraId="08D95ADB" w14:textId="77777777" w:rsidR="00675640" w:rsidRDefault="00675640" w:rsidP="007C6BD5">
            <w:pPr>
              <w:spacing w:after="0" w:line="240" w:lineRule="auto"/>
              <w:jc w:val="center"/>
              <w:rPr>
                <w:rFonts w:asciiTheme="minorHAnsi" w:hAnsiTheme="minorHAnsi"/>
              </w:rPr>
            </w:pPr>
            <w:r>
              <w:rPr>
                <w:rFonts w:asciiTheme="minorHAnsi" w:hAnsiTheme="minorHAnsi"/>
              </w:rPr>
              <w:t>080</w:t>
            </w:r>
          </w:p>
        </w:tc>
        <w:tc>
          <w:tcPr>
            <w:tcW w:w="2430" w:type="dxa"/>
            <w:gridSpan w:val="2"/>
            <w:vMerge w:val="restart"/>
          </w:tcPr>
          <w:p w14:paraId="157F3CA8" w14:textId="77777777" w:rsidR="00232392" w:rsidRPr="00F535AA" w:rsidRDefault="00675640" w:rsidP="00D12761">
            <w:pPr>
              <w:spacing w:after="0" w:line="240" w:lineRule="auto"/>
              <w:rPr>
                <w:rFonts w:asciiTheme="minorHAnsi" w:hAnsiTheme="minorHAnsi"/>
                <w:b/>
              </w:rPr>
            </w:pPr>
            <w:r w:rsidRPr="00E26A01">
              <w:rPr>
                <w:rFonts w:asciiTheme="minorHAnsi" w:hAnsiTheme="minorHAnsi"/>
                <w:b/>
              </w:rPr>
              <w:t>Alternative or additional financial disclosure reports and related records.</w:t>
            </w:r>
          </w:p>
        </w:tc>
        <w:tc>
          <w:tcPr>
            <w:tcW w:w="7020" w:type="dxa"/>
            <w:gridSpan w:val="2"/>
          </w:tcPr>
          <w:p w14:paraId="4D46BC3E" w14:textId="77777777" w:rsidR="00F06E3A" w:rsidRDefault="00675640" w:rsidP="007C6BD5">
            <w:pPr>
              <w:spacing w:after="0" w:line="240" w:lineRule="auto"/>
              <w:rPr>
                <w:rFonts w:asciiTheme="minorHAnsi" w:hAnsiTheme="minorHAnsi"/>
                <w:b/>
              </w:rPr>
            </w:pPr>
            <w:r w:rsidRPr="00AC5D47">
              <w:rPr>
                <w:rFonts w:asciiTheme="minorHAnsi" w:hAnsiTheme="minorHAnsi"/>
                <w:b/>
              </w:rPr>
              <w:t>Reports for individuals not subsequently confirmed by the U.S. Senate.</w:t>
            </w:r>
          </w:p>
          <w:p w14:paraId="2DB06DBE" w14:textId="77777777" w:rsidR="001E6EA4" w:rsidRDefault="001E6EA4" w:rsidP="007C6BD5">
            <w:pPr>
              <w:spacing w:after="0" w:line="240" w:lineRule="auto"/>
              <w:rPr>
                <w:rFonts w:asciiTheme="minorHAnsi" w:hAnsiTheme="minorHAnsi"/>
                <w:b/>
              </w:rPr>
            </w:pPr>
          </w:p>
          <w:p w14:paraId="646ED5FB" w14:textId="77777777" w:rsidR="001E6EA4" w:rsidRPr="00AF3E01" w:rsidRDefault="001E6EA4" w:rsidP="001E6EA4">
            <w:pPr>
              <w:spacing w:after="0" w:line="240" w:lineRule="auto"/>
              <w:ind w:left="331"/>
              <w:rPr>
                <w:rFonts w:asciiTheme="minorHAnsi" w:hAnsiTheme="minorHAnsi"/>
                <w:b/>
              </w:rPr>
            </w:pPr>
            <w:r>
              <w:rPr>
                <w:rFonts w:asciiTheme="minorHAnsi" w:hAnsiTheme="minorHAnsi"/>
                <w:b/>
              </w:rPr>
              <w:t xml:space="preserve">Legal Citation: </w:t>
            </w:r>
            <w:r>
              <w:rPr>
                <w:rFonts w:asciiTheme="minorHAnsi" w:hAnsiTheme="minorHAnsi"/>
              </w:rPr>
              <w:t xml:space="preserve"> 5 U.S.C. app. section 105</w:t>
            </w:r>
          </w:p>
        </w:tc>
        <w:tc>
          <w:tcPr>
            <w:tcW w:w="2970" w:type="dxa"/>
          </w:tcPr>
          <w:p w14:paraId="0B13F4B9" w14:textId="77777777" w:rsidR="00675640" w:rsidRPr="001C206A" w:rsidRDefault="00675640" w:rsidP="00C92B8B">
            <w:pPr>
              <w:spacing w:after="0" w:line="240" w:lineRule="auto"/>
            </w:pPr>
            <w:r w:rsidRPr="001C206A">
              <w:rPr>
                <w:b/>
              </w:rPr>
              <w:t>Temporary.</w:t>
            </w:r>
            <w:r w:rsidRPr="001C206A">
              <w:t xml:space="preserve"> </w:t>
            </w:r>
            <w:r w:rsidR="00F535AA" w:rsidRPr="001C206A">
              <w:t xml:space="preserve"> </w:t>
            </w:r>
            <w:r w:rsidRPr="001C206A">
              <w:t xml:space="preserve">Destroy 1 year after nominee ceases to be under consideration </w:t>
            </w:r>
            <w:r w:rsidR="008B2557" w:rsidRPr="001C206A">
              <w:t xml:space="preserve">for the position </w:t>
            </w:r>
            <w:r w:rsidRPr="001C206A">
              <w:t>or when no longer needed for active investigation</w:t>
            </w:r>
            <w:r w:rsidR="00C92B8B" w:rsidRPr="001C206A">
              <w:t>,</w:t>
            </w:r>
            <w:r w:rsidR="00BC0CA9" w:rsidRPr="001C206A">
              <w:t xml:space="preserve"> whichever is later</w:t>
            </w:r>
            <w:r w:rsidRPr="001C206A">
              <w:t>.</w:t>
            </w:r>
            <w:r w:rsidR="00922177" w:rsidRPr="001C206A">
              <w:t xml:space="preserve">  This disposition instruction is mandatory; deviations are not allowed.</w:t>
            </w:r>
          </w:p>
          <w:p w14:paraId="17A01E53" w14:textId="77777777" w:rsidR="009710AF" w:rsidRPr="001C206A" w:rsidRDefault="009710AF" w:rsidP="00C92B8B">
            <w:pPr>
              <w:spacing w:after="0" w:line="240" w:lineRule="auto"/>
              <w:rPr>
                <w:rFonts w:asciiTheme="minorHAnsi" w:hAnsiTheme="minorHAnsi"/>
              </w:rPr>
            </w:pPr>
          </w:p>
        </w:tc>
        <w:tc>
          <w:tcPr>
            <w:tcW w:w="1260" w:type="dxa"/>
          </w:tcPr>
          <w:p w14:paraId="74B803B5" w14:textId="77777777" w:rsidR="00675640" w:rsidRPr="0062504F" w:rsidRDefault="001F5FF9" w:rsidP="007C6BD5">
            <w:pPr>
              <w:spacing w:after="0" w:line="240" w:lineRule="auto"/>
              <w:rPr>
                <w:rFonts w:asciiTheme="minorHAnsi" w:hAnsiTheme="minorHAnsi"/>
              </w:rPr>
            </w:pPr>
            <w:r w:rsidRPr="00127279">
              <w:rPr>
                <w:rFonts w:asciiTheme="minorHAnsi" w:hAnsiTheme="minorHAnsi" w:cstheme="minorHAnsi"/>
              </w:rPr>
              <w:t>DAA-GRS-2014-0005-</w:t>
            </w:r>
            <w:r w:rsidR="00675640">
              <w:rPr>
                <w:rFonts w:asciiTheme="minorHAnsi" w:hAnsiTheme="minorHAnsi" w:cstheme="minorHAnsi"/>
              </w:rPr>
              <w:t>0</w:t>
            </w:r>
            <w:r>
              <w:rPr>
                <w:rFonts w:asciiTheme="minorHAnsi" w:hAnsiTheme="minorHAnsi" w:cstheme="minorHAnsi"/>
              </w:rPr>
              <w:t>0</w:t>
            </w:r>
            <w:r w:rsidR="00675640">
              <w:rPr>
                <w:rFonts w:asciiTheme="minorHAnsi" w:hAnsiTheme="minorHAnsi" w:cstheme="minorHAnsi"/>
              </w:rPr>
              <w:t>1</w:t>
            </w:r>
            <w:r w:rsidR="00BF6D7A">
              <w:rPr>
                <w:rFonts w:asciiTheme="minorHAnsi" w:hAnsiTheme="minorHAnsi" w:cstheme="minorHAnsi"/>
              </w:rPr>
              <w:t>4</w:t>
            </w:r>
          </w:p>
        </w:tc>
      </w:tr>
      <w:tr w:rsidR="00675640" w:rsidRPr="00761183" w14:paraId="279EF379" w14:textId="77777777" w:rsidTr="009710AF">
        <w:trPr>
          <w:trHeight w:val="487"/>
        </w:trPr>
        <w:tc>
          <w:tcPr>
            <w:tcW w:w="727" w:type="dxa"/>
          </w:tcPr>
          <w:p w14:paraId="25D44C00" w14:textId="77777777" w:rsidR="00675640" w:rsidRDefault="00675640" w:rsidP="007C6BD5">
            <w:pPr>
              <w:spacing w:after="0" w:line="240" w:lineRule="auto"/>
              <w:jc w:val="center"/>
              <w:rPr>
                <w:rFonts w:asciiTheme="minorHAnsi" w:hAnsiTheme="minorHAnsi"/>
              </w:rPr>
            </w:pPr>
            <w:r>
              <w:rPr>
                <w:rFonts w:asciiTheme="minorHAnsi" w:hAnsiTheme="minorHAnsi"/>
              </w:rPr>
              <w:t>081</w:t>
            </w:r>
          </w:p>
        </w:tc>
        <w:tc>
          <w:tcPr>
            <w:tcW w:w="2430" w:type="dxa"/>
            <w:gridSpan w:val="2"/>
            <w:vMerge/>
          </w:tcPr>
          <w:p w14:paraId="5C745398" w14:textId="77777777" w:rsidR="00675640" w:rsidRPr="00E26A01" w:rsidRDefault="00675640" w:rsidP="007C6BD5">
            <w:pPr>
              <w:spacing w:after="0" w:line="240" w:lineRule="auto"/>
              <w:rPr>
                <w:rFonts w:asciiTheme="minorHAnsi" w:hAnsiTheme="minorHAnsi"/>
                <w:b/>
              </w:rPr>
            </w:pPr>
          </w:p>
        </w:tc>
        <w:tc>
          <w:tcPr>
            <w:tcW w:w="7020" w:type="dxa"/>
            <w:gridSpan w:val="2"/>
          </w:tcPr>
          <w:p w14:paraId="75B7E5E0" w14:textId="77777777" w:rsidR="00AF3E01" w:rsidRPr="0006594B" w:rsidRDefault="00497167" w:rsidP="00AF3E01">
            <w:pPr>
              <w:spacing w:after="0" w:line="240" w:lineRule="auto"/>
              <w:rPr>
                <w:rFonts w:asciiTheme="minorHAnsi" w:hAnsiTheme="minorHAnsi"/>
                <w:i/>
              </w:rPr>
            </w:pPr>
            <w:r>
              <w:rPr>
                <w:rFonts w:asciiTheme="minorHAnsi" w:hAnsiTheme="minorHAnsi"/>
                <w:b/>
              </w:rPr>
              <w:t xml:space="preserve">All other </w:t>
            </w:r>
            <w:r w:rsidR="00675640" w:rsidRPr="00E26A01">
              <w:rPr>
                <w:rFonts w:asciiTheme="minorHAnsi" w:hAnsiTheme="minorHAnsi"/>
                <w:b/>
              </w:rPr>
              <w:t xml:space="preserve">reports. </w:t>
            </w:r>
          </w:p>
          <w:p w14:paraId="2AFAC5A7" w14:textId="77777777" w:rsidR="00675640" w:rsidRDefault="00675640" w:rsidP="007C6BD5">
            <w:pPr>
              <w:spacing w:after="0" w:line="240" w:lineRule="auto"/>
              <w:rPr>
                <w:rFonts w:asciiTheme="minorHAnsi" w:hAnsiTheme="minorHAnsi"/>
                <w:i/>
              </w:rPr>
            </w:pPr>
          </w:p>
          <w:p w14:paraId="717D5422" w14:textId="77777777" w:rsidR="001E6EA4" w:rsidRPr="001E6EA4" w:rsidRDefault="001E6EA4" w:rsidP="001E6EA4">
            <w:pPr>
              <w:spacing w:after="0" w:line="240" w:lineRule="auto"/>
              <w:ind w:left="331"/>
              <w:rPr>
                <w:rFonts w:asciiTheme="minorHAnsi" w:hAnsiTheme="minorHAnsi"/>
              </w:rPr>
            </w:pPr>
            <w:r>
              <w:rPr>
                <w:rFonts w:asciiTheme="minorHAnsi" w:hAnsiTheme="minorHAnsi"/>
                <w:b/>
              </w:rPr>
              <w:t xml:space="preserve">Legal Citation: </w:t>
            </w:r>
            <w:r>
              <w:rPr>
                <w:rFonts w:asciiTheme="minorHAnsi" w:hAnsiTheme="minorHAnsi"/>
              </w:rPr>
              <w:t xml:space="preserve"> 5 U.S.C. app. section 105</w:t>
            </w:r>
          </w:p>
        </w:tc>
        <w:tc>
          <w:tcPr>
            <w:tcW w:w="2970" w:type="dxa"/>
          </w:tcPr>
          <w:p w14:paraId="70118C97" w14:textId="77777777" w:rsidR="009710AF" w:rsidRPr="009E3100" w:rsidRDefault="00675640" w:rsidP="00C92B8B">
            <w:pPr>
              <w:spacing w:after="0" w:line="240" w:lineRule="auto"/>
              <w:rPr>
                <w:rFonts w:asciiTheme="minorHAnsi" w:hAnsiTheme="minorHAnsi"/>
              </w:rPr>
            </w:pPr>
            <w:r w:rsidRPr="001C206A">
              <w:rPr>
                <w:b/>
              </w:rPr>
              <w:t>Temporary.</w:t>
            </w:r>
            <w:r w:rsidR="005B6F0B" w:rsidRPr="001C206A">
              <w:t xml:space="preserve"> </w:t>
            </w:r>
            <w:r w:rsidR="00F535AA" w:rsidRPr="001C206A">
              <w:t xml:space="preserve"> </w:t>
            </w:r>
            <w:r w:rsidR="005B6F0B" w:rsidRPr="001C206A">
              <w:rPr>
                <w:rFonts w:asciiTheme="minorHAnsi" w:hAnsiTheme="minorHAnsi"/>
              </w:rPr>
              <w:t xml:space="preserve">Destroy 6 years </w:t>
            </w:r>
            <w:r w:rsidR="008E287F" w:rsidRPr="001C206A">
              <w:rPr>
                <w:rFonts w:asciiTheme="minorHAnsi" w:hAnsiTheme="minorHAnsi"/>
              </w:rPr>
              <w:t xml:space="preserve">after receipt </w:t>
            </w:r>
            <w:r w:rsidR="005B6F0B" w:rsidRPr="001C206A">
              <w:rPr>
                <w:rFonts w:asciiTheme="minorHAnsi" w:hAnsiTheme="minorHAnsi"/>
              </w:rPr>
              <w:t xml:space="preserve">of the financial disclosure report </w:t>
            </w:r>
            <w:r w:rsidR="004F1EB7" w:rsidRPr="001C206A">
              <w:rPr>
                <w:rFonts w:asciiTheme="minorHAnsi" w:hAnsiTheme="minorHAnsi"/>
              </w:rPr>
              <w:t xml:space="preserve">by the agency </w:t>
            </w:r>
            <w:r w:rsidR="005B6F0B" w:rsidRPr="001C206A">
              <w:rPr>
                <w:rFonts w:asciiTheme="minorHAnsi" w:hAnsiTheme="minorHAnsi"/>
              </w:rPr>
              <w:t>or when no longer needed for active investigation</w:t>
            </w:r>
            <w:r w:rsidR="00C92B8B" w:rsidRPr="001C206A">
              <w:rPr>
                <w:rFonts w:asciiTheme="minorHAnsi" w:hAnsiTheme="minorHAnsi"/>
              </w:rPr>
              <w:t>,</w:t>
            </w:r>
            <w:r w:rsidR="005B6F0B" w:rsidRPr="001C206A">
              <w:rPr>
                <w:rFonts w:asciiTheme="minorHAnsi" w:hAnsiTheme="minorHAnsi"/>
              </w:rPr>
              <w:t xml:space="preserve"> whichever is later.</w:t>
            </w:r>
            <w:r w:rsidR="00922177" w:rsidRPr="001C206A">
              <w:rPr>
                <w:rFonts w:asciiTheme="minorHAnsi" w:hAnsiTheme="minorHAnsi"/>
              </w:rPr>
              <w:t xml:space="preserve">  This disposition instruction is mandatory; deviations are not allowed.</w:t>
            </w:r>
          </w:p>
        </w:tc>
        <w:tc>
          <w:tcPr>
            <w:tcW w:w="1260" w:type="dxa"/>
          </w:tcPr>
          <w:p w14:paraId="6C4B80F4" w14:textId="77777777" w:rsidR="00675640" w:rsidRPr="0062504F" w:rsidRDefault="001F5FF9" w:rsidP="00843AB8">
            <w:pPr>
              <w:spacing w:after="0" w:line="240" w:lineRule="auto"/>
              <w:rPr>
                <w:rFonts w:asciiTheme="minorHAnsi" w:hAnsiTheme="minorHAnsi"/>
              </w:rPr>
            </w:pPr>
            <w:r w:rsidRPr="00127279">
              <w:rPr>
                <w:rFonts w:asciiTheme="minorHAnsi" w:hAnsiTheme="minorHAnsi" w:cstheme="minorHAnsi"/>
              </w:rPr>
              <w:t>DAA-GRS-2014-0005-</w:t>
            </w:r>
            <w:r w:rsidR="00675640">
              <w:rPr>
                <w:rFonts w:asciiTheme="minorHAnsi" w:hAnsiTheme="minorHAnsi" w:cstheme="minorHAnsi"/>
              </w:rPr>
              <w:t>001</w:t>
            </w:r>
            <w:r w:rsidR="00BF6D7A">
              <w:rPr>
                <w:rFonts w:asciiTheme="minorHAnsi" w:hAnsiTheme="minorHAnsi" w:cstheme="minorHAnsi"/>
              </w:rPr>
              <w:t>5</w:t>
            </w:r>
          </w:p>
        </w:tc>
      </w:tr>
      <w:tr w:rsidR="00675640" w:rsidRPr="00761183" w14:paraId="1BE07974" w14:textId="77777777" w:rsidTr="009710AF">
        <w:trPr>
          <w:trHeight w:val="757"/>
        </w:trPr>
        <w:tc>
          <w:tcPr>
            <w:tcW w:w="727" w:type="dxa"/>
          </w:tcPr>
          <w:p w14:paraId="17EF32EA" w14:textId="77777777" w:rsidR="00675640" w:rsidRPr="00767822" w:rsidRDefault="00767822" w:rsidP="007C6BD5">
            <w:pPr>
              <w:spacing w:after="0" w:line="240" w:lineRule="auto"/>
              <w:jc w:val="center"/>
              <w:rPr>
                <w:rFonts w:asciiTheme="minorHAnsi" w:hAnsiTheme="minorHAnsi"/>
              </w:rPr>
            </w:pPr>
            <w:r w:rsidRPr="00767822">
              <w:rPr>
                <w:rFonts w:asciiTheme="minorHAnsi" w:hAnsiTheme="minorHAnsi"/>
              </w:rPr>
              <w:lastRenderedPageBreak/>
              <w:t>090</w:t>
            </w:r>
          </w:p>
        </w:tc>
        <w:tc>
          <w:tcPr>
            <w:tcW w:w="9450" w:type="dxa"/>
            <w:gridSpan w:val="4"/>
          </w:tcPr>
          <w:p w14:paraId="4E80F933" w14:textId="77777777" w:rsidR="00675640" w:rsidRPr="00620CB6" w:rsidRDefault="00C44B18" w:rsidP="007C6BD5">
            <w:pPr>
              <w:spacing w:after="0" w:line="240" w:lineRule="auto"/>
              <w:rPr>
                <w:rFonts w:asciiTheme="minorHAnsi" w:hAnsiTheme="minorHAnsi"/>
                <w:b/>
              </w:rPr>
            </w:pPr>
            <w:r>
              <w:rPr>
                <w:rFonts w:asciiTheme="minorHAnsi" w:hAnsiTheme="minorHAnsi"/>
                <w:b/>
              </w:rPr>
              <w:t>Financial d</w:t>
            </w:r>
            <w:r w:rsidR="007E6AA5">
              <w:rPr>
                <w:rFonts w:asciiTheme="minorHAnsi" w:hAnsiTheme="minorHAnsi"/>
                <w:b/>
              </w:rPr>
              <w:t xml:space="preserve">isclosure </w:t>
            </w:r>
            <w:r>
              <w:rPr>
                <w:rFonts w:asciiTheme="minorHAnsi" w:hAnsiTheme="minorHAnsi"/>
                <w:b/>
              </w:rPr>
              <w:t>supporting d</w:t>
            </w:r>
            <w:r w:rsidR="00675640" w:rsidRPr="00620CB6">
              <w:rPr>
                <w:rFonts w:asciiTheme="minorHAnsi" w:hAnsiTheme="minorHAnsi"/>
                <w:b/>
              </w:rPr>
              <w:t>ocumentation</w:t>
            </w:r>
            <w:r>
              <w:rPr>
                <w:rFonts w:asciiTheme="minorHAnsi" w:hAnsiTheme="minorHAnsi"/>
                <w:b/>
              </w:rPr>
              <w:t>.</w:t>
            </w:r>
          </w:p>
          <w:p w14:paraId="44E4EA3A" w14:textId="77777777" w:rsidR="00675640" w:rsidRPr="002A4C4D" w:rsidRDefault="00EE184F" w:rsidP="00082D9B">
            <w:pPr>
              <w:spacing w:after="0" w:line="240" w:lineRule="auto"/>
              <w:ind w:left="335"/>
              <w:rPr>
                <w:rFonts w:asciiTheme="minorHAnsi" w:hAnsiTheme="minorHAnsi"/>
              </w:rPr>
            </w:pPr>
            <w:r>
              <w:t>Supporting documentation used to review and verify the filer’s report submission.</w:t>
            </w:r>
            <w:r w:rsidR="00C92B8B">
              <w:rPr>
                <w:rFonts w:asciiTheme="minorHAnsi" w:hAnsiTheme="minorHAnsi"/>
              </w:rPr>
              <w:t xml:space="preserve">  </w:t>
            </w:r>
            <w:r w:rsidR="00675640" w:rsidRPr="002A4C4D">
              <w:rPr>
                <w:rFonts w:asciiTheme="minorHAnsi" w:hAnsiTheme="minorHAnsi"/>
              </w:rPr>
              <w:t>Includes records such as:</w:t>
            </w:r>
          </w:p>
          <w:p w14:paraId="1CFA7E9A" w14:textId="77777777" w:rsidR="00675640" w:rsidRPr="002A4C4D" w:rsidRDefault="00675640" w:rsidP="00082D9B">
            <w:pPr>
              <w:pStyle w:val="ListParagraph"/>
              <w:numPr>
                <w:ilvl w:val="0"/>
                <w:numId w:val="25"/>
              </w:numPr>
              <w:spacing w:after="0" w:line="240" w:lineRule="auto"/>
              <w:ind w:left="605" w:hanging="270"/>
              <w:rPr>
                <w:rFonts w:asciiTheme="minorHAnsi" w:hAnsiTheme="minorHAnsi"/>
              </w:rPr>
            </w:pPr>
            <w:r w:rsidRPr="002A4C4D">
              <w:rPr>
                <w:rFonts w:asciiTheme="minorHAnsi" w:hAnsiTheme="minorHAnsi"/>
              </w:rPr>
              <w:t>reviewer’s notes</w:t>
            </w:r>
          </w:p>
          <w:p w14:paraId="50D79104" w14:textId="77777777" w:rsidR="00675640" w:rsidRPr="002A4C4D" w:rsidRDefault="00675640" w:rsidP="00082D9B">
            <w:pPr>
              <w:pStyle w:val="ListParagraph"/>
              <w:numPr>
                <w:ilvl w:val="0"/>
                <w:numId w:val="25"/>
              </w:numPr>
              <w:spacing w:after="0" w:line="240" w:lineRule="auto"/>
              <w:ind w:left="605" w:hanging="270"/>
              <w:rPr>
                <w:rFonts w:asciiTheme="minorHAnsi" w:hAnsiTheme="minorHAnsi"/>
              </w:rPr>
            </w:pPr>
            <w:r w:rsidRPr="002A4C4D">
              <w:rPr>
                <w:rFonts w:asciiTheme="minorHAnsi" w:hAnsiTheme="minorHAnsi"/>
              </w:rPr>
              <w:t>background research reports</w:t>
            </w:r>
          </w:p>
          <w:p w14:paraId="78E333B2" w14:textId="77777777" w:rsidR="00675640" w:rsidRPr="009553DC" w:rsidRDefault="00675640" w:rsidP="00082D9B">
            <w:pPr>
              <w:pStyle w:val="ListParagraph"/>
              <w:numPr>
                <w:ilvl w:val="0"/>
                <w:numId w:val="25"/>
              </w:numPr>
              <w:spacing w:after="0" w:line="240" w:lineRule="auto"/>
              <w:ind w:left="605" w:hanging="270"/>
              <w:rPr>
                <w:rFonts w:asciiTheme="minorHAnsi" w:hAnsiTheme="minorHAnsi"/>
                <w:b/>
              </w:rPr>
            </w:pPr>
            <w:r w:rsidRPr="009553DC">
              <w:rPr>
                <w:rFonts w:asciiTheme="minorHAnsi" w:hAnsiTheme="minorHAnsi"/>
              </w:rPr>
              <w:t>memorialized verbal comments of filer in response to reviewer questions</w:t>
            </w:r>
          </w:p>
        </w:tc>
        <w:tc>
          <w:tcPr>
            <w:tcW w:w="2970" w:type="dxa"/>
          </w:tcPr>
          <w:p w14:paraId="3F432D6C" w14:textId="77777777" w:rsidR="009710AF" w:rsidRPr="009E3100" w:rsidRDefault="00675640" w:rsidP="004D229D">
            <w:pPr>
              <w:spacing w:after="0" w:line="240" w:lineRule="auto"/>
              <w:rPr>
                <w:rFonts w:asciiTheme="minorHAnsi" w:eastAsia="Times New Roman" w:hAnsiTheme="minorHAnsi"/>
              </w:rPr>
            </w:pPr>
            <w:r w:rsidRPr="001C206A">
              <w:rPr>
                <w:b/>
              </w:rPr>
              <w:t>Temporary.</w:t>
            </w:r>
            <w:r w:rsidRPr="001C206A">
              <w:t xml:space="preserve"> </w:t>
            </w:r>
            <w:r w:rsidR="00F535AA" w:rsidRPr="001C206A">
              <w:t xml:space="preserve"> </w:t>
            </w:r>
            <w:r w:rsidR="00597D9E" w:rsidRPr="001C206A">
              <w:rPr>
                <w:rFonts w:asciiTheme="minorHAnsi" w:eastAsia="Times New Roman" w:hAnsiTheme="minorHAnsi"/>
              </w:rPr>
              <w:t>Destroy at the same time an individual’s related financial disclosure report is destroyed</w:t>
            </w:r>
            <w:r w:rsidR="00C827CA" w:rsidRPr="001C206A">
              <w:rPr>
                <w:rFonts w:asciiTheme="minorHAnsi" w:eastAsia="Times New Roman" w:hAnsiTheme="minorHAnsi"/>
              </w:rPr>
              <w:t xml:space="preserve"> </w:t>
            </w:r>
            <w:r w:rsidR="00324B55" w:rsidRPr="001C206A">
              <w:rPr>
                <w:rFonts w:asciiTheme="minorHAnsi" w:eastAsia="Times New Roman" w:hAnsiTheme="minorHAnsi"/>
              </w:rPr>
              <w:t xml:space="preserve">or </w:t>
            </w:r>
            <w:r w:rsidR="00597D9E" w:rsidRPr="001C206A">
              <w:rPr>
                <w:rFonts w:asciiTheme="minorHAnsi" w:eastAsia="Times New Roman" w:hAnsiTheme="minorHAnsi"/>
              </w:rPr>
              <w:t>6 years after the individual has submitted their last financial disclosure report</w:t>
            </w:r>
            <w:r w:rsidR="003D658C" w:rsidRPr="001C206A">
              <w:rPr>
                <w:rFonts w:asciiTheme="minorHAnsi" w:eastAsia="Times New Roman" w:hAnsiTheme="minorHAnsi"/>
              </w:rPr>
              <w:t>;</w:t>
            </w:r>
            <w:r w:rsidR="00597D9E" w:rsidRPr="001C206A">
              <w:rPr>
                <w:rFonts w:asciiTheme="minorHAnsi" w:eastAsia="Times New Roman" w:hAnsiTheme="minorHAnsi"/>
              </w:rPr>
              <w:t xml:space="preserve"> or</w:t>
            </w:r>
            <w:r w:rsidR="00FA497B" w:rsidRPr="001C206A">
              <w:rPr>
                <w:rFonts w:asciiTheme="minorHAnsi" w:eastAsia="Times New Roman" w:hAnsiTheme="minorHAnsi"/>
              </w:rPr>
              <w:t xml:space="preserve"> </w:t>
            </w:r>
            <w:r w:rsidR="00597D9E" w:rsidRPr="001C206A">
              <w:rPr>
                <w:rFonts w:asciiTheme="minorHAnsi" w:eastAsia="Times New Roman" w:hAnsiTheme="minorHAnsi"/>
              </w:rPr>
              <w:t>when no longer needed for active investigation</w:t>
            </w:r>
            <w:r w:rsidR="00324B55" w:rsidRPr="001C206A">
              <w:rPr>
                <w:rFonts w:asciiTheme="minorHAnsi" w:eastAsia="Times New Roman" w:hAnsiTheme="minorHAnsi"/>
              </w:rPr>
              <w:t xml:space="preserve">, </w:t>
            </w:r>
            <w:r w:rsidR="00597D9E" w:rsidRPr="001C206A">
              <w:rPr>
                <w:rFonts w:asciiTheme="minorHAnsi" w:eastAsia="Times New Roman" w:hAnsiTheme="minorHAnsi"/>
              </w:rPr>
              <w:t>whichever is later.</w:t>
            </w:r>
          </w:p>
        </w:tc>
        <w:tc>
          <w:tcPr>
            <w:tcW w:w="1260" w:type="dxa"/>
          </w:tcPr>
          <w:p w14:paraId="0F326885" w14:textId="77777777" w:rsidR="00675640" w:rsidRPr="0062504F" w:rsidRDefault="002B1FEC" w:rsidP="007C6BD5">
            <w:pPr>
              <w:spacing w:after="0" w:line="240" w:lineRule="auto"/>
              <w:rPr>
                <w:rFonts w:asciiTheme="minorHAnsi" w:hAnsiTheme="minorHAnsi"/>
              </w:rPr>
            </w:pPr>
            <w:r w:rsidRPr="00127279">
              <w:rPr>
                <w:rFonts w:asciiTheme="minorHAnsi" w:hAnsiTheme="minorHAnsi" w:cstheme="minorHAnsi"/>
              </w:rPr>
              <w:t>DAA-GRS-2014-0005-</w:t>
            </w:r>
            <w:r w:rsidR="00D722E7">
              <w:rPr>
                <w:rFonts w:asciiTheme="minorHAnsi" w:hAnsiTheme="minorHAnsi"/>
              </w:rPr>
              <w:t>001</w:t>
            </w:r>
            <w:r w:rsidR="00BF6D7A">
              <w:rPr>
                <w:rFonts w:asciiTheme="minorHAnsi" w:hAnsiTheme="minorHAnsi"/>
              </w:rPr>
              <w:t>6</w:t>
            </w:r>
          </w:p>
        </w:tc>
      </w:tr>
      <w:tr w:rsidR="00F261B3" w:rsidRPr="00761183" w14:paraId="4FBF5EC6" w14:textId="77777777" w:rsidTr="009710AF">
        <w:trPr>
          <w:trHeight w:val="1207"/>
        </w:trPr>
        <w:tc>
          <w:tcPr>
            <w:tcW w:w="727" w:type="dxa"/>
          </w:tcPr>
          <w:p w14:paraId="0DA02764" w14:textId="77777777" w:rsidR="00F261B3" w:rsidRPr="00767822" w:rsidRDefault="00F261B3" w:rsidP="00CA5A01">
            <w:pPr>
              <w:tabs>
                <w:tab w:val="left" w:pos="-1080"/>
                <w:tab w:val="left" w:pos="-720"/>
                <w:tab w:val="left" w:pos="342"/>
                <w:tab w:val="left" w:pos="720"/>
                <w:tab w:val="left" w:pos="1080"/>
                <w:tab w:val="left" w:pos="1440"/>
                <w:tab w:val="left" w:pos="3600"/>
              </w:tabs>
              <w:spacing w:after="0" w:line="240" w:lineRule="auto"/>
              <w:jc w:val="center"/>
              <w:rPr>
                <w:rFonts w:asciiTheme="minorHAnsi" w:hAnsiTheme="minorHAnsi"/>
              </w:rPr>
            </w:pPr>
            <w:r>
              <w:br w:type="page"/>
            </w:r>
            <w:r w:rsidRPr="00767822">
              <w:rPr>
                <w:rFonts w:asciiTheme="minorHAnsi" w:hAnsiTheme="minorHAnsi"/>
              </w:rPr>
              <w:t>100</w:t>
            </w:r>
          </w:p>
        </w:tc>
        <w:tc>
          <w:tcPr>
            <w:tcW w:w="7110" w:type="dxa"/>
            <w:gridSpan w:val="3"/>
            <w:vMerge w:val="restart"/>
          </w:tcPr>
          <w:p w14:paraId="5413EF69" w14:textId="77777777" w:rsidR="00F261B3" w:rsidRDefault="00C44B18" w:rsidP="009236AB">
            <w:pPr>
              <w:autoSpaceDE w:val="0"/>
              <w:autoSpaceDN w:val="0"/>
              <w:adjustRightInd w:val="0"/>
              <w:spacing w:after="0" w:line="240" w:lineRule="auto"/>
              <w:ind w:right="360"/>
              <w:rPr>
                <w:rFonts w:asciiTheme="minorHAnsi" w:hAnsiTheme="minorHAnsi"/>
                <w:b/>
              </w:rPr>
            </w:pPr>
            <w:r>
              <w:rPr>
                <w:rFonts w:asciiTheme="minorHAnsi" w:hAnsiTheme="minorHAnsi"/>
                <w:b/>
              </w:rPr>
              <w:t>Ethics agreements r</w:t>
            </w:r>
            <w:r w:rsidR="00F261B3" w:rsidRPr="0021457C">
              <w:rPr>
                <w:rFonts w:asciiTheme="minorHAnsi" w:hAnsiTheme="minorHAnsi"/>
                <w:b/>
              </w:rPr>
              <w:t>ecords</w:t>
            </w:r>
            <w:r>
              <w:rPr>
                <w:rFonts w:asciiTheme="minorHAnsi" w:hAnsiTheme="minorHAnsi"/>
                <w:b/>
              </w:rPr>
              <w:t>.</w:t>
            </w:r>
          </w:p>
          <w:p w14:paraId="1BD45EF2" w14:textId="77777777" w:rsidR="00624F60" w:rsidRPr="00C92B8B" w:rsidRDefault="00F261B3" w:rsidP="00082D9B">
            <w:pPr>
              <w:autoSpaceDE w:val="0"/>
              <w:autoSpaceDN w:val="0"/>
              <w:adjustRightInd w:val="0"/>
              <w:spacing w:after="0" w:line="240" w:lineRule="auto"/>
              <w:ind w:left="335" w:right="360"/>
              <w:rPr>
                <w:rFonts w:asciiTheme="minorHAnsi" w:hAnsiTheme="minorHAnsi"/>
              </w:rPr>
            </w:pPr>
            <w:r w:rsidRPr="0021457C">
              <w:rPr>
                <w:rFonts w:asciiTheme="minorHAnsi" w:hAnsiTheme="minorHAnsi"/>
              </w:rPr>
              <w:t xml:space="preserve">Records documenting the review and </w:t>
            </w:r>
            <w:r w:rsidR="00D21A44" w:rsidRPr="0021457C">
              <w:rPr>
                <w:rFonts w:asciiTheme="minorHAnsi" w:hAnsiTheme="minorHAnsi"/>
              </w:rPr>
              <w:t>issu</w:t>
            </w:r>
            <w:r w:rsidR="00D21A44">
              <w:rPr>
                <w:rFonts w:asciiTheme="minorHAnsi" w:hAnsiTheme="minorHAnsi"/>
              </w:rPr>
              <w:t>e</w:t>
            </w:r>
            <w:r w:rsidR="00D21A44" w:rsidRPr="0021457C">
              <w:rPr>
                <w:rFonts w:asciiTheme="minorHAnsi" w:hAnsiTheme="minorHAnsi"/>
              </w:rPr>
              <w:t xml:space="preserve"> </w:t>
            </w:r>
            <w:r w:rsidRPr="0021457C">
              <w:rPr>
                <w:rFonts w:asciiTheme="minorHAnsi" w:hAnsiTheme="minorHAnsi"/>
              </w:rPr>
              <w:t xml:space="preserve">of ethics agreements used to remedy the appearance of potential or actual financial </w:t>
            </w:r>
            <w:r>
              <w:rPr>
                <w:rFonts w:asciiTheme="minorHAnsi" w:hAnsiTheme="minorHAnsi"/>
              </w:rPr>
              <w:t xml:space="preserve">conflicts of interest. </w:t>
            </w:r>
            <w:r w:rsidR="00324B55">
              <w:rPr>
                <w:rFonts w:asciiTheme="minorHAnsi" w:hAnsiTheme="minorHAnsi"/>
              </w:rPr>
              <w:t>Includes</w:t>
            </w:r>
            <w:r>
              <w:rPr>
                <w:rFonts w:asciiTheme="minorHAnsi" w:hAnsiTheme="minorHAnsi"/>
              </w:rPr>
              <w:t>:</w:t>
            </w:r>
          </w:p>
          <w:p w14:paraId="3D4B2E8D" w14:textId="77777777" w:rsidR="00C92B8B" w:rsidRDefault="00C92B8B" w:rsidP="00082D9B">
            <w:pPr>
              <w:pStyle w:val="ListParagraph"/>
              <w:numPr>
                <w:ilvl w:val="0"/>
                <w:numId w:val="28"/>
              </w:numPr>
              <w:autoSpaceDE w:val="0"/>
              <w:autoSpaceDN w:val="0"/>
              <w:adjustRightInd w:val="0"/>
              <w:spacing w:after="0" w:line="240" w:lineRule="auto"/>
              <w:ind w:left="605" w:right="360" w:hanging="270"/>
              <w:rPr>
                <w:rFonts w:asciiTheme="minorHAnsi" w:hAnsiTheme="minorHAnsi"/>
              </w:rPr>
            </w:pPr>
            <w:r w:rsidRPr="007112D4">
              <w:rPr>
                <w:rFonts w:asciiTheme="minorHAnsi" w:hAnsiTheme="minorHAnsi"/>
              </w:rPr>
              <w:t>review of recusals, resignations, reassignments, and divestitures</w:t>
            </w:r>
          </w:p>
          <w:p w14:paraId="08459963" w14:textId="77777777" w:rsidR="00C92B8B" w:rsidRDefault="00C92B8B" w:rsidP="00082D9B">
            <w:pPr>
              <w:pStyle w:val="ListParagraph"/>
              <w:numPr>
                <w:ilvl w:val="0"/>
                <w:numId w:val="28"/>
              </w:numPr>
              <w:autoSpaceDE w:val="0"/>
              <w:autoSpaceDN w:val="0"/>
              <w:adjustRightInd w:val="0"/>
              <w:spacing w:after="0" w:line="240" w:lineRule="auto"/>
              <w:ind w:left="605" w:right="360" w:hanging="270"/>
              <w:rPr>
                <w:rFonts w:asciiTheme="minorHAnsi" w:hAnsiTheme="minorHAnsi"/>
              </w:rPr>
            </w:pPr>
            <w:r w:rsidRPr="00C92B8B">
              <w:rPr>
                <w:rFonts w:asciiTheme="minorHAnsi" w:hAnsiTheme="minorHAnsi"/>
              </w:rPr>
              <w:t>determinations</w:t>
            </w:r>
          </w:p>
          <w:p w14:paraId="711A2D59" w14:textId="77777777" w:rsidR="00624F60" w:rsidRDefault="007112D4" w:rsidP="00082D9B">
            <w:pPr>
              <w:pStyle w:val="ListParagraph"/>
              <w:numPr>
                <w:ilvl w:val="0"/>
                <w:numId w:val="28"/>
              </w:numPr>
              <w:autoSpaceDE w:val="0"/>
              <w:autoSpaceDN w:val="0"/>
              <w:adjustRightInd w:val="0"/>
              <w:spacing w:after="0" w:line="240" w:lineRule="auto"/>
              <w:ind w:left="605" w:right="360" w:hanging="270"/>
              <w:rPr>
                <w:rFonts w:asciiTheme="minorHAnsi" w:hAnsiTheme="minorHAnsi"/>
              </w:rPr>
            </w:pPr>
            <w:r w:rsidRPr="007112D4">
              <w:rPr>
                <w:rFonts w:asciiTheme="minorHAnsi" w:hAnsiTheme="minorHAnsi"/>
              </w:rPr>
              <w:t>authorizations</w:t>
            </w:r>
          </w:p>
          <w:p w14:paraId="144AACFD" w14:textId="77777777" w:rsidR="00C92B8B" w:rsidRDefault="00C92B8B" w:rsidP="00082D9B">
            <w:pPr>
              <w:pStyle w:val="ListParagraph"/>
              <w:numPr>
                <w:ilvl w:val="0"/>
                <w:numId w:val="28"/>
              </w:numPr>
              <w:autoSpaceDE w:val="0"/>
              <w:autoSpaceDN w:val="0"/>
              <w:adjustRightInd w:val="0"/>
              <w:spacing w:after="0" w:line="240" w:lineRule="auto"/>
              <w:ind w:left="605" w:right="360" w:hanging="270"/>
              <w:rPr>
                <w:rFonts w:asciiTheme="minorHAnsi" w:hAnsiTheme="minorHAnsi"/>
              </w:rPr>
            </w:pPr>
            <w:r w:rsidRPr="007112D4">
              <w:rPr>
                <w:rFonts w:asciiTheme="minorHAnsi" w:hAnsiTheme="minorHAnsi"/>
              </w:rPr>
              <w:t>waivers</w:t>
            </w:r>
          </w:p>
          <w:p w14:paraId="0FDB30EB" w14:textId="77777777" w:rsidR="00624F60" w:rsidRDefault="007112D4" w:rsidP="00082D9B">
            <w:pPr>
              <w:pStyle w:val="ListParagraph"/>
              <w:numPr>
                <w:ilvl w:val="0"/>
                <w:numId w:val="28"/>
              </w:numPr>
              <w:autoSpaceDE w:val="0"/>
              <w:autoSpaceDN w:val="0"/>
              <w:adjustRightInd w:val="0"/>
              <w:spacing w:after="0" w:line="240" w:lineRule="auto"/>
              <w:ind w:left="605" w:right="360" w:hanging="270"/>
              <w:rPr>
                <w:rFonts w:asciiTheme="minorHAnsi" w:hAnsiTheme="minorHAnsi"/>
              </w:rPr>
            </w:pPr>
            <w:r w:rsidRPr="007112D4">
              <w:rPr>
                <w:rFonts w:asciiTheme="minorHAnsi" w:hAnsiTheme="minorHAnsi"/>
              </w:rPr>
              <w:t xml:space="preserve">waivers of disqualifications  </w:t>
            </w:r>
          </w:p>
          <w:p w14:paraId="66F05407" w14:textId="77777777" w:rsidR="00C92B8B" w:rsidRPr="00F535AA" w:rsidRDefault="00C92B8B" w:rsidP="00F535AA">
            <w:pPr>
              <w:spacing w:after="0" w:line="240" w:lineRule="auto"/>
              <w:rPr>
                <w:rFonts w:asciiTheme="minorHAnsi" w:hAnsiTheme="minorHAnsi"/>
              </w:rPr>
            </w:pPr>
          </w:p>
          <w:p w14:paraId="2CD47446" w14:textId="77777777" w:rsidR="00F535AA" w:rsidRPr="00F535AA" w:rsidRDefault="00F535AA" w:rsidP="00082D9B">
            <w:pPr>
              <w:spacing w:after="0" w:line="240" w:lineRule="auto"/>
              <w:ind w:left="335"/>
              <w:rPr>
                <w:rFonts w:asciiTheme="minorHAnsi" w:hAnsiTheme="minorHAnsi" w:cs="Arial"/>
                <w:bCs/>
                <w:color w:val="222222"/>
                <w:shd w:val="clear" w:color="auto" w:fill="FFFFFF"/>
              </w:rPr>
            </w:pPr>
            <w:r w:rsidRPr="007C6BD5">
              <w:rPr>
                <w:rFonts w:asciiTheme="minorHAnsi" w:hAnsiTheme="minorHAnsi"/>
                <w:b/>
              </w:rPr>
              <w:t>Note</w:t>
            </w:r>
            <w:r w:rsidRPr="00C14B6C">
              <w:rPr>
                <w:rFonts w:asciiTheme="minorHAnsi" w:hAnsiTheme="minorHAnsi"/>
              </w:rPr>
              <w:t xml:space="preserve">: </w:t>
            </w:r>
            <w:r>
              <w:rPr>
                <w:rFonts w:asciiTheme="minorHAnsi" w:hAnsiTheme="minorHAnsi"/>
              </w:rPr>
              <w:t xml:space="preserve"> </w:t>
            </w:r>
            <w:r w:rsidR="00F261B3" w:rsidRPr="001E1C8F">
              <w:rPr>
                <w:rFonts w:asciiTheme="minorHAnsi" w:hAnsiTheme="minorHAnsi" w:cs="Arial"/>
                <w:color w:val="222222"/>
                <w:shd w:val="clear" w:color="auto" w:fill="FFFFFF"/>
              </w:rPr>
              <w:t xml:space="preserve">Ethics Pledges and associated waiver certifications are filed in the political appointee's </w:t>
            </w:r>
            <w:r w:rsidR="00843508">
              <w:rPr>
                <w:rFonts w:asciiTheme="minorHAnsi" w:hAnsiTheme="minorHAnsi" w:cs="Arial"/>
                <w:color w:val="222222"/>
                <w:shd w:val="clear" w:color="auto" w:fill="FFFFFF"/>
              </w:rPr>
              <w:t>O</w:t>
            </w:r>
            <w:r w:rsidR="00F261B3" w:rsidRPr="001E1C8F">
              <w:rPr>
                <w:rFonts w:asciiTheme="minorHAnsi" w:hAnsiTheme="minorHAnsi" w:cs="Arial"/>
                <w:color w:val="222222"/>
                <w:shd w:val="clear" w:color="auto" w:fill="FFFFFF"/>
              </w:rPr>
              <w:t xml:space="preserve">fficial </w:t>
            </w:r>
            <w:r w:rsidR="00843508">
              <w:rPr>
                <w:rFonts w:asciiTheme="minorHAnsi" w:hAnsiTheme="minorHAnsi" w:cs="Arial"/>
                <w:color w:val="222222"/>
                <w:shd w:val="clear" w:color="auto" w:fill="FFFFFF"/>
              </w:rPr>
              <w:t>Personnel F</w:t>
            </w:r>
            <w:r w:rsidR="00F261B3" w:rsidRPr="001E1C8F">
              <w:rPr>
                <w:rFonts w:asciiTheme="minorHAnsi" w:hAnsiTheme="minorHAnsi" w:cs="Arial"/>
                <w:color w:val="222222"/>
                <w:shd w:val="clear" w:color="auto" w:fill="FFFFFF"/>
              </w:rPr>
              <w:t xml:space="preserve">older or equivalent folder under the authority of </w:t>
            </w:r>
            <w:r w:rsidR="00F261B3" w:rsidRPr="001E1C8F">
              <w:rPr>
                <w:rFonts w:asciiTheme="minorHAnsi" w:hAnsiTheme="minorHAnsi" w:cs="Arial"/>
                <w:bCs/>
                <w:color w:val="222222"/>
                <w:shd w:val="clear" w:color="auto" w:fill="FFFFFF"/>
              </w:rPr>
              <w:t xml:space="preserve">Executive Order 13490 (Jan. 21, 2009): </w:t>
            </w:r>
            <w:r w:rsidR="00F261B3" w:rsidRPr="001E1C8F">
              <w:rPr>
                <w:rFonts w:asciiTheme="minorHAnsi" w:hAnsiTheme="minorHAnsi" w:cs="Arial"/>
                <w:bCs/>
                <w:i/>
                <w:color w:val="222222"/>
                <w:shd w:val="clear" w:color="auto" w:fill="FFFFFF"/>
              </w:rPr>
              <w:t>Prescribing Standards of Ethical Conduct for Government Officers and Employees</w:t>
            </w:r>
            <w:r w:rsidR="00F261B3" w:rsidRPr="001E1C8F">
              <w:rPr>
                <w:rFonts w:asciiTheme="minorHAnsi" w:hAnsiTheme="minorHAnsi" w:cs="Arial"/>
                <w:bCs/>
                <w:color w:val="222222"/>
                <w:shd w:val="clear" w:color="auto" w:fill="FFFFFF"/>
              </w:rPr>
              <w:t>.</w:t>
            </w:r>
          </w:p>
        </w:tc>
        <w:tc>
          <w:tcPr>
            <w:tcW w:w="2340" w:type="dxa"/>
          </w:tcPr>
          <w:p w14:paraId="6D7D7233" w14:textId="77777777" w:rsidR="00AF3E01" w:rsidRPr="00235DAC" w:rsidRDefault="00F261B3" w:rsidP="00AF3E01">
            <w:pPr>
              <w:tabs>
                <w:tab w:val="left" w:pos="1055"/>
                <w:tab w:val="left" w:pos="1440"/>
              </w:tabs>
              <w:spacing w:after="0" w:line="240" w:lineRule="auto"/>
              <w:rPr>
                <w:rFonts w:asciiTheme="minorHAnsi" w:hAnsiTheme="minorHAnsi"/>
              </w:rPr>
            </w:pPr>
            <w:r w:rsidRPr="002E69FD">
              <w:rPr>
                <w:rFonts w:asciiTheme="minorHAnsi" w:hAnsiTheme="minorHAnsi"/>
                <w:b/>
              </w:rPr>
              <w:t xml:space="preserve">Agreements for </w:t>
            </w:r>
            <w:r w:rsidR="00232BEB">
              <w:rPr>
                <w:rFonts w:asciiTheme="minorHAnsi" w:hAnsiTheme="minorHAnsi"/>
                <w:b/>
              </w:rPr>
              <w:t>employees who do not f</w:t>
            </w:r>
            <w:r w:rsidR="008900F2" w:rsidRPr="008900F2">
              <w:rPr>
                <w:rFonts w:asciiTheme="minorHAnsi" w:hAnsiTheme="minorHAnsi"/>
                <w:b/>
              </w:rPr>
              <w:t xml:space="preserve">ile </w:t>
            </w:r>
            <w:r w:rsidR="001D433A">
              <w:rPr>
                <w:rFonts w:asciiTheme="minorHAnsi" w:hAnsiTheme="minorHAnsi"/>
                <w:b/>
              </w:rPr>
              <w:t>f</w:t>
            </w:r>
            <w:r w:rsidR="008900F2" w:rsidRPr="008900F2">
              <w:rPr>
                <w:rFonts w:asciiTheme="minorHAnsi" w:hAnsiTheme="minorHAnsi"/>
                <w:b/>
              </w:rPr>
              <w:t>i</w:t>
            </w:r>
            <w:r w:rsidR="001D433A">
              <w:rPr>
                <w:rFonts w:asciiTheme="minorHAnsi" w:hAnsiTheme="minorHAnsi"/>
                <w:b/>
              </w:rPr>
              <w:t>nancial disclosure r</w:t>
            </w:r>
            <w:r w:rsidR="008900F2" w:rsidRPr="008900F2">
              <w:rPr>
                <w:rFonts w:asciiTheme="minorHAnsi" w:hAnsiTheme="minorHAnsi"/>
                <w:b/>
              </w:rPr>
              <w:t>eports</w:t>
            </w:r>
            <w:r w:rsidR="00232BEB">
              <w:rPr>
                <w:rFonts w:asciiTheme="minorHAnsi" w:hAnsiTheme="minorHAnsi"/>
                <w:b/>
              </w:rPr>
              <w:t>.</w:t>
            </w:r>
            <w:r w:rsidR="008900F2" w:rsidRPr="008900F2">
              <w:rPr>
                <w:rFonts w:asciiTheme="minorHAnsi" w:hAnsiTheme="minorHAnsi"/>
                <w:b/>
              </w:rPr>
              <w:t xml:space="preserve"> </w:t>
            </w:r>
          </w:p>
          <w:p w14:paraId="00930764" w14:textId="77777777" w:rsidR="00235DAC" w:rsidRPr="00235DAC" w:rsidRDefault="00235DAC" w:rsidP="00767822">
            <w:pPr>
              <w:tabs>
                <w:tab w:val="left" w:pos="1055"/>
                <w:tab w:val="left" w:pos="1440"/>
              </w:tabs>
              <w:spacing w:after="0" w:line="240" w:lineRule="auto"/>
              <w:rPr>
                <w:rFonts w:asciiTheme="minorHAnsi" w:hAnsiTheme="minorHAnsi"/>
              </w:rPr>
            </w:pPr>
          </w:p>
        </w:tc>
        <w:tc>
          <w:tcPr>
            <w:tcW w:w="2970" w:type="dxa"/>
          </w:tcPr>
          <w:p w14:paraId="238F3A5B" w14:textId="77777777" w:rsidR="009710AF" w:rsidRPr="001C206A" w:rsidRDefault="00F261B3" w:rsidP="00C92B8B">
            <w:pPr>
              <w:spacing w:after="0" w:line="240" w:lineRule="auto"/>
              <w:rPr>
                <w:rFonts w:asciiTheme="minorHAnsi" w:hAnsiTheme="minorHAnsi"/>
              </w:rPr>
            </w:pPr>
            <w:r w:rsidRPr="001C206A">
              <w:rPr>
                <w:rFonts w:asciiTheme="minorHAnsi" w:hAnsiTheme="minorHAnsi"/>
                <w:b/>
              </w:rPr>
              <w:t>Temporary.</w:t>
            </w:r>
            <w:r w:rsidRPr="001C206A">
              <w:rPr>
                <w:rFonts w:asciiTheme="minorHAnsi" w:hAnsiTheme="minorHAnsi"/>
              </w:rPr>
              <w:t xml:space="preserve"> </w:t>
            </w:r>
            <w:r w:rsidR="00F535AA" w:rsidRPr="001C206A">
              <w:rPr>
                <w:rFonts w:asciiTheme="minorHAnsi" w:hAnsiTheme="minorHAnsi"/>
              </w:rPr>
              <w:t xml:space="preserve"> </w:t>
            </w:r>
            <w:r w:rsidR="009207A9" w:rsidRPr="001C206A">
              <w:rPr>
                <w:rFonts w:asciiTheme="minorHAnsi" w:hAnsiTheme="minorHAnsi"/>
              </w:rPr>
              <w:t>Destroy 6 years after the waiver or other agreed-upon determination or action has been issued or undertaken, or 6 years after it is no longer in effect, or when no longer needed for active investigation</w:t>
            </w:r>
            <w:r w:rsidR="00C92B8B" w:rsidRPr="001C206A">
              <w:rPr>
                <w:rFonts w:asciiTheme="minorHAnsi" w:hAnsiTheme="minorHAnsi"/>
              </w:rPr>
              <w:t>,</w:t>
            </w:r>
            <w:r w:rsidR="009207A9" w:rsidRPr="001C206A">
              <w:rPr>
                <w:rFonts w:asciiTheme="minorHAnsi" w:hAnsiTheme="minorHAnsi"/>
              </w:rPr>
              <w:t xml:space="preserve"> whichever is later. Longer retention is authorized if needed for business use.</w:t>
            </w:r>
          </w:p>
        </w:tc>
        <w:tc>
          <w:tcPr>
            <w:tcW w:w="1260" w:type="dxa"/>
          </w:tcPr>
          <w:p w14:paraId="48BE8349" w14:textId="77777777" w:rsidR="00F261B3" w:rsidRPr="00C45B7D" w:rsidRDefault="002B1FEC" w:rsidP="00CA5A01">
            <w:pPr>
              <w:spacing w:after="0" w:line="240" w:lineRule="auto"/>
              <w:rPr>
                <w:rFonts w:cstheme="minorHAnsi"/>
              </w:rPr>
            </w:pPr>
            <w:r w:rsidRPr="00127279">
              <w:rPr>
                <w:rFonts w:asciiTheme="minorHAnsi" w:hAnsiTheme="minorHAnsi" w:cstheme="minorHAnsi"/>
              </w:rPr>
              <w:t>DAA-GRS-2014-0005-</w:t>
            </w:r>
            <w:r w:rsidR="00F261B3">
              <w:rPr>
                <w:rFonts w:cstheme="minorHAnsi"/>
              </w:rPr>
              <w:t>001</w:t>
            </w:r>
            <w:r w:rsidR="00BF6D7A">
              <w:rPr>
                <w:rFonts w:cstheme="minorHAnsi"/>
              </w:rPr>
              <w:t>7</w:t>
            </w:r>
          </w:p>
        </w:tc>
      </w:tr>
      <w:tr w:rsidR="00F261B3" w:rsidRPr="00761183" w14:paraId="6A9DD68E" w14:textId="77777777" w:rsidTr="009710AF">
        <w:trPr>
          <w:trHeight w:val="2467"/>
        </w:trPr>
        <w:tc>
          <w:tcPr>
            <w:tcW w:w="727" w:type="dxa"/>
          </w:tcPr>
          <w:p w14:paraId="7BA3AC97" w14:textId="77777777" w:rsidR="00F261B3" w:rsidRPr="00767822" w:rsidRDefault="00F261B3" w:rsidP="00AF5478">
            <w:pPr>
              <w:tabs>
                <w:tab w:val="left" w:pos="-1080"/>
                <w:tab w:val="left" w:pos="-720"/>
                <w:tab w:val="left" w:pos="342"/>
                <w:tab w:val="left" w:pos="720"/>
                <w:tab w:val="left" w:pos="1080"/>
                <w:tab w:val="left" w:pos="1440"/>
                <w:tab w:val="left" w:pos="3600"/>
              </w:tabs>
              <w:jc w:val="center"/>
              <w:rPr>
                <w:rFonts w:asciiTheme="minorHAnsi" w:hAnsiTheme="minorHAnsi"/>
              </w:rPr>
            </w:pPr>
            <w:r w:rsidRPr="00767822">
              <w:rPr>
                <w:rFonts w:asciiTheme="minorHAnsi" w:hAnsiTheme="minorHAnsi"/>
              </w:rPr>
              <w:t>1</w:t>
            </w:r>
            <w:r w:rsidR="00AF5478">
              <w:rPr>
                <w:rFonts w:asciiTheme="minorHAnsi" w:hAnsiTheme="minorHAnsi"/>
              </w:rPr>
              <w:t>01</w:t>
            </w:r>
          </w:p>
        </w:tc>
        <w:tc>
          <w:tcPr>
            <w:tcW w:w="7110" w:type="dxa"/>
            <w:gridSpan w:val="3"/>
            <w:vMerge/>
          </w:tcPr>
          <w:p w14:paraId="512114D1" w14:textId="77777777" w:rsidR="00F261B3" w:rsidRPr="0021457C" w:rsidRDefault="00F261B3" w:rsidP="00CA5A01">
            <w:pPr>
              <w:autoSpaceDE w:val="0"/>
              <w:autoSpaceDN w:val="0"/>
              <w:adjustRightInd w:val="0"/>
              <w:spacing w:after="0" w:line="240" w:lineRule="auto"/>
              <w:ind w:right="360"/>
              <w:rPr>
                <w:rFonts w:asciiTheme="minorHAnsi" w:hAnsiTheme="minorHAnsi"/>
                <w:b/>
              </w:rPr>
            </w:pPr>
          </w:p>
        </w:tc>
        <w:tc>
          <w:tcPr>
            <w:tcW w:w="2340" w:type="dxa"/>
          </w:tcPr>
          <w:p w14:paraId="7D28686B" w14:textId="77777777" w:rsidR="0096796A" w:rsidRPr="00AF3E01" w:rsidRDefault="00232BEB" w:rsidP="00767822">
            <w:pPr>
              <w:tabs>
                <w:tab w:val="left" w:pos="1055"/>
                <w:tab w:val="left" w:pos="1440"/>
              </w:tabs>
              <w:spacing w:after="0" w:line="240" w:lineRule="auto"/>
              <w:rPr>
                <w:rFonts w:asciiTheme="minorHAnsi" w:hAnsiTheme="minorHAnsi"/>
                <w:b/>
              </w:rPr>
            </w:pPr>
            <w:r>
              <w:rPr>
                <w:rFonts w:asciiTheme="minorHAnsi" w:hAnsiTheme="minorHAnsi"/>
                <w:b/>
              </w:rPr>
              <w:t>Agreements for employees who f</w:t>
            </w:r>
            <w:r w:rsidR="001D433A">
              <w:rPr>
                <w:rFonts w:asciiTheme="minorHAnsi" w:hAnsiTheme="minorHAnsi"/>
                <w:b/>
              </w:rPr>
              <w:t>ile f</w:t>
            </w:r>
            <w:r w:rsidR="008900F2">
              <w:rPr>
                <w:rFonts w:asciiTheme="minorHAnsi" w:hAnsiTheme="minorHAnsi"/>
                <w:b/>
              </w:rPr>
              <w:t xml:space="preserve">inancial </w:t>
            </w:r>
            <w:r w:rsidR="001D433A">
              <w:rPr>
                <w:rFonts w:asciiTheme="minorHAnsi" w:hAnsiTheme="minorHAnsi"/>
                <w:b/>
              </w:rPr>
              <w:t>disclosure r</w:t>
            </w:r>
            <w:r w:rsidR="008900F2">
              <w:rPr>
                <w:rFonts w:asciiTheme="minorHAnsi" w:hAnsiTheme="minorHAnsi"/>
                <w:b/>
              </w:rPr>
              <w:t>eport</w:t>
            </w:r>
            <w:r w:rsidR="00DC66A3">
              <w:rPr>
                <w:rFonts w:asciiTheme="minorHAnsi" w:hAnsiTheme="minorHAnsi"/>
                <w:b/>
              </w:rPr>
              <w:t>s</w:t>
            </w:r>
            <w:r>
              <w:rPr>
                <w:rFonts w:asciiTheme="minorHAnsi" w:hAnsiTheme="minorHAnsi"/>
                <w:b/>
              </w:rPr>
              <w:t>.</w:t>
            </w:r>
          </w:p>
        </w:tc>
        <w:tc>
          <w:tcPr>
            <w:tcW w:w="2970" w:type="dxa"/>
          </w:tcPr>
          <w:p w14:paraId="123AD08D" w14:textId="77777777" w:rsidR="009710AF" w:rsidRPr="001C206A" w:rsidRDefault="00F261B3" w:rsidP="009E3100">
            <w:pPr>
              <w:spacing w:after="0" w:line="240" w:lineRule="auto"/>
              <w:rPr>
                <w:rFonts w:asciiTheme="minorHAnsi" w:hAnsiTheme="minorHAnsi"/>
              </w:rPr>
            </w:pPr>
            <w:r w:rsidRPr="001C206A">
              <w:rPr>
                <w:rFonts w:asciiTheme="minorHAnsi" w:hAnsiTheme="minorHAnsi"/>
                <w:b/>
              </w:rPr>
              <w:t>Temporary.</w:t>
            </w:r>
            <w:r w:rsidRPr="001C206A">
              <w:rPr>
                <w:rFonts w:asciiTheme="minorHAnsi" w:hAnsiTheme="minorHAnsi"/>
              </w:rPr>
              <w:t xml:space="preserve"> </w:t>
            </w:r>
            <w:r w:rsidR="00F535AA" w:rsidRPr="001C206A">
              <w:rPr>
                <w:rFonts w:asciiTheme="minorHAnsi" w:hAnsiTheme="minorHAnsi"/>
              </w:rPr>
              <w:t xml:space="preserve"> </w:t>
            </w:r>
            <w:r w:rsidRPr="001C206A">
              <w:rPr>
                <w:rFonts w:asciiTheme="minorHAnsi" w:hAnsiTheme="minorHAnsi"/>
              </w:rPr>
              <w:t xml:space="preserve">Destroy at the same time as the </w:t>
            </w:r>
            <w:r w:rsidR="008900F2" w:rsidRPr="001C206A">
              <w:rPr>
                <w:rFonts w:asciiTheme="minorHAnsi" w:hAnsiTheme="minorHAnsi"/>
              </w:rPr>
              <w:t>employee’</w:t>
            </w:r>
            <w:r w:rsidRPr="001C206A">
              <w:rPr>
                <w:rFonts w:asciiTheme="minorHAnsi" w:hAnsiTheme="minorHAnsi"/>
              </w:rPr>
              <w:t>s last related financial report is destroyed or when no longer needed for active investigation</w:t>
            </w:r>
            <w:r w:rsidR="00A865AA" w:rsidRPr="001C206A">
              <w:rPr>
                <w:rFonts w:asciiTheme="minorHAnsi" w:hAnsiTheme="minorHAnsi"/>
              </w:rPr>
              <w:t>,</w:t>
            </w:r>
            <w:r w:rsidR="00A17DAA" w:rsidRPr="001C206A">
              <w:rPr>
                <w:rFonts w:asciiTheme="minorHAnsi" w:hAnsiTheme="minorHAnsi"/>
              </w:rPr>
              <w:t xml:space="preserve"> whichever is later</w:t>
            </w:r>
            <w:r w:rsidRPr="001C206A">
              <w:rPr>
                <w:rFonts w:asciiTheme="minorHAnsi" w:hAnsiTheme="minorHAnsi"/>
              </w:rPr>
              <w:t>.  Longer retention is authorized if needed for business use.</w:t>
            </w:r>
          </w:p>
        </w:tc>
        <w:tc>
          <w:tcPr>
            <w:tcW w:w="1260" w:type="dxa"/>
          </w:tcPr>
          <w:p w14:paraId="755F787A" w14:textId="77777777" w:rsidR="00F261B3" w:rsidRPr="004A1EB8" w:rsidRDefault="002B1FEC" w:rsidP="00BF6D7A">
            <w:pPr>
              <w:rPr>
                <w:rFonts w:cstheme="minorHAnsi"/>
              </w:rPr>
            </w:pPr>
            <w:r w:rsidRPr="00127279">
              <w:rPr>
                <w:rFonts w:asciiTheme="minorHAnsi" w:hAnsiTheme="minorHAnsi" w:cstheme="minorHAnsi"/>
              </w:rPr>
              <w:t>DAA-GRS-2014-0005-</w:t>
            </w:r>
            <w:r w:rsidR="00F261B3">
              <w:rPr>
                <w:rFonts w:asciiTheme="minorHAnsi" w:hAnsiTheme="minorHAnsi"/>
              </w:rPr>
              <w:t>001</w:t>
            </w:r>
            <w:r w:rsidR="00BF6D7A">
              <w:rPr>
                <w:rFonts w:asciiTheme="minorHAnsi" w:hAnsiTheme="minorHAnsi"/>
              </w:rPr>
              <w:t>8</w:t>
            </w:r>
          </w:p>
        </w:tc>
      </w:tr>
    </w:tbl>
    <w:p w14:paraId="443CF7B4" w14:textId="77777777" w:rsidR="00CA5A01" w:rsidRDefault="00CA5A01" w:rsidP="004D212E">
      <w:pPr>
        <w:spacing w:after="0" w:line="240" w:lineRule="auto"/>
        <w:ind w:left="-720"/>
        <w:rPr>
          <w:rFonts w:asciiTheme="minorHAnsi" w:hAnsiTheme="minorHAnsi"/>
        </w:rPr>
      </w:pPr>
    </w:p>
    <w:sectPr w:rsidR="00CA5A01" w:rsidSect="00CC372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1440" w:header="720" w:footer="720" w:gutter="0"/>
      <w:pgNumType w:start="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5CA3" w14:textId="77777777" w:rsidR="00220E08" w:rsidRDefault="00220E08" w:rsidP="008F3172">
      <w:pPr>
        <w:spacing w:after="0" w:line="240" w:lineRule="auto"/>
      </w:pPr>
      <w:r>
        <w:separator/>
      </w:r>
    </w:p>
  </w:endnote>
  <w:endnote w:type="continuationSeparator" w:id="0">
    <w:p w14:paraId="39E3B297" w14:textId="77777777" w:rsidR="00220E08" w:rsidRDefault="00220E08" w:rsidP="008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7D74" w14:textId="77777777" w:rsidR="0056273E" w:rsidRDefault="0056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12E6" w14:textId="77777777" w:rsidR="00FB3571" w:rsidRDefault="00FB3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4F95" w14:textId="77777777" w:rsidR="0056273E" w:rsidRDefault="0056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6C8E" w14:textId="77777777" w:rsidR="00220E08" w:rsidRDefault="00220E08" w:rsidP="008F3172">
      <w:pPr>
        <w:spacing w:after="0" w:line="240" w:lineRule="auto"/>
      </w:pPr>
      <w:r>
        <w:separator/>
      </w:r>
    </w:p>
  </w:footnote>
  <w:footnote w:type="continuationSeparator" w:id="0">
    <w:p w14:paraId="5930CA10" w14:textId="77777777" w:rsidR="00220E08" w:rsidRDefault="00220E08" w:rsidP="008F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225C" w14:textId="77777777" w:rsidR="0056273E" w:rsidRDefault="00562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AF15" w14:textId="37CAFC7F" w:rsidR="00435A61" w:rsidRPr="00A31178" w:rsidRDefault="0056273E" w:rsidP="009710AF">
    <w:pPr>
      <w:pStyle w:val="Header"/>
      <w:tabs>
        <w:tab w:val="clear" w:pos="9360"/>
        <w:tab w:val="right" w:pos="13680"/>
      </w:tabs>
      <w:ind w:left="-720"/>
      <w:rPr>
        <w:b/>
        <w:bCs/>
        <w:sz w:val="20"/>
        <w:szCs w:val="20"/>
      </w:rPr>
    </w:pPr>
    <w:r>
      <w:rPr>
        <w:b/>
        <w:bCs/>
        <w:sz w:val="20"/>
        <w:szCs w:val="20"/>
      </w:rPr>
      <w:t xml:space="preserve">Last updated in </w:t>
    </w:r>
    <w:r w:rsidR="00435A61" w:rsidRPr="00A31178">
      <w:rPr>
        <w:b/>
        <w:bCs/>
        <w:sz w:val="20"/>
        <w:szCs w:val="20"/>
      </w:rPr>
      <w:t>Transmittal No. 2</w:t>
    </w:r>
    <w:r w:rsidR="009E3100">
      <w:rPr>
        <w:b/>
        <w:bCs/>
        <w:sz w:val="20"/>
        <w:szCs w:val="20"/>
      </w:rPr>
      <w:t>6</w:t>
    </w:r>
    <w:r w:rsidR="00435A61" w:rsidRPr="00A31178">
      <w:rPr>
        <w:b/>
        <w:bCs/>
        <w:sz w:val="20"/>
        <w:szCs w:val="20"/>
      </w:rPr>
      <w:tab/>
    </w:r>
    <w:r w:rsidR="00435A61" w:rsidRPr="00A31178">
      <w:rPr>
        <w:b/>
        <w:bCs/>
        <w:sz w:val="20"/>
        <w:szCs w:val="20"/>
      </w:rPr>
      <w:tab/>
      <w:t>General Records Schedule</w:t>
    </w:r>
    <w:r w:rsidR="00435A61">
      <w:rPr>
        <w:b/>
        <w:bCs/>
        <w:sz w:val="20"/>
        <w:szCs w:val="20"/>
      </w:rPr>
      <w:t xml:space="preserve"> 2.8</w:t>
    </w:r>
  </w:p>
  <w:p w14:paraId="1D73B876" w14:textId="77777777" w:rsidR="00435A61" w:rsidRDefault="007571E8" w:rsidP="009710AF">
    <w:pPr>
      <w:pStyle w:val="Header"/>
      <w:ind w:left="-720"/>
      <w:rPr>
        <w:b/>
        <w:bCs/>
        <w:sz w:val="20"/>
        <w:szCs w:val="20"/>
      </w:rPr>
    </w:pPr>
    <w:r>
      <w:rPr>
        <w:b/>
        <w:sz w:val="20"/>
        <w:szCs w:val="20"/>
      </w:rPr>
      <w:t xml:space="preserve">September </w:t>
    </w:r>
    <w:r w:rsidR="00435A61">
      <w:rPr>
        <w:b/>
        <w:bCs/>
        <w:sz w:val="20"/>
        <w:szCs w:val="20"/>
      </w:rPr>
      <w:t>201</w:t>
    </w:r>
    <w:r w:rsidR="009E3100">
      <w:rPr>
        <w:b/>
        <w:bCs/>
        <w:sz w:val="20"/>
        <w:szCs w:val="20"/>
      </w:rPr>
      <w:t>6</w:t>
    </w:r>
  </w:p>
  <w:p w14:paraId="7B7835D8" w14:textId="77777777" w:rsidR="00435A61" w:rsidRDefault="00435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4A3D" w14:textId="77777777" w:rsidR="00435A61" w:rsidRPr="00A31178" w:rsidRDefault="00435A61" w:rsidP="0078781C">
    <w:pPr>
      <w:pStyle w:val="Header"/>
      <w:tabs>
        <w:tab w:val="clear" w:pos="9360"/>
        <w:tab w:val="right" w:pos="13680"/>
      </w:tabs>
      <w:ind w:left="-720"/>
      <w:rPr>
        <w:b/>
        <w:bCs/>
        <w:sz w:val="20"/>
        <w:szCs w:val="20"/>
      </w:rPr>
    </w:pPr>
    <w:r w:rsidRPr="00A31178">
      <w:rPr>
        <w:b/>
        <w:bCs/>
        <w:sz w:val="20"/>
        <w:szCs w:val="20"/>
      </w:rPr>
      <w:t>Transmittal No. 2</w:t>
    </w:r>
    <w:r>
      <w:rPr>
        <w:b/>
        <w:bCs/>
        <w:sz w:val="20"/>
        <w:szCs w:val="20"/>
      </w:rPr>
      <w:t>4</w:t>
    </w:r>
    <w:r w:rsidRPr="00A31178">
      <w:rPr>
        <w:b/>
        <w:bCs/>
        <w:sz w:val="20"/>
        <w:szCs w:val="20"/>
      </w:rPr>
      <w:tab/>
    </w:r>
    <w:r w:rsidRPr="00A31178">
      <w:rPr>
        <w:b/>
        <w:bCs/>
        <w:sz w:val="20"/>
        <w:szCs w:val="20"/>
      </w:rPr>
      <w:tab/>
      <w:t>General Records Schedule</w:t>
    </w:r>
    <w:r>
      <w:rPr>
        <w:b/>
        <w:bCs/>
        <w:sz w:val="20"/>
        <w:szCs w:val="20"/>
      </w:rPr>
      <w:t xml:space="preserve"> 2.8</w:t>
    </w:r>
  </w:p>
  <w:p w14:paraId="6AA1B417" w14:textId="77777777" w:rsidR="00435A61" w:rsidRDefault="00435A61" w:rsidP="0078781C">
    <w:pPr>
      <w:pStyle w:val="Header"/>
      <w:ind w:left="-720"/>
      <w:rPr>
        <w:b/>
        <w:bCs/>
        <w:sz w:val="20"/>
        <w:szCs w:val="20"/>
      </w:rPr>
    </w:pPr>
    <w:r>
      <w:rPr>
        <w:b/>
        <w:bCs/>
        <w:sz w:val="20"/>
        <w:szCs w:val="20"/>
      </w:rPr>
      <w:t>June 2015</w:t>
    </w:r>
  </w:p>
  <w:p w14:paraId="5886BD75" w14:textId="77777777" w:rsidR="00435A61" w:rsidRDefault="00435A61" w:rsidP="0078781C">
    <w:pPr>
      <w:pStyle w:val="Header"/>
      <w:ind w:left="-720"/>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E01"/>
    <w:multiLevelType w:val="hybridMultilevel"/>
    <w:tmpl w:val="505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6485"/>
    <w:multiLevelType w:val="hybridMultilevel"/>
    <w:tmpl w:val="B4AA5F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25F70"/>
    <w:multiLevelType w:val="hybridMultilevel"/>
    <w:tmpl w:val="AFC24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726DC"/>
    <w:multiLevelType w:val="hybridMultilevel"/>
    <w:tmpl w:val="FD8C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E375D"/>
    <w:multiLevelType w:val="hybridMultilevel"/>
    <w:tmpl w:val="61D4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FC3712"/>
    <w:multiLevelType w:val="hybridMultilevel"/>
    <w:tmpl w:val="FA6000AE"/>
    <w:lvl w:ilvl="0" w:tplc="E3F4C89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34FB46A5"/>
    <w:multiLevelType w:val="hybridMultilevel"/>
    <w:tmpl w:val="74A6A2C0"/>
    <w:lvl w:ilvl="0" w:tplc="25C2DC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35443E3E"/>
    <w:multiLevelType w:val="hybridMultilevel"/>
    <w:tmpl w:val="FCC0F1E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366E6167"/>
    <w:multiLevelType w:val="hybridMultilevel"/>
    <w:tmpl w:val="8C56234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435E2949"/>
    <w:multiLevelType w:val="hybridMultilevel"/>
    <w:tmpl w:val="33AE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50CAF"/>
    <w:multiLevelType w:val="hybridMultilevel"/>
    <w:tmpl w:val="6F1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25055"/>
    <w:multiLevelType w:val="hybridMultilevel"/>
    <w:tmpl w:val="51C2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E186C"/>
    <w:multiLevelType w:val="hybridMultilevel"/>
    <w:tmpl w:val="ABB4B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D719BD"/>
    <w:multiLevelType w:val="hybridMultilevel"/>
    <w:tmpl w:val="E5162706"/>
    <w:lvl w:ilvl="0" w:tplc="9880057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52F2588A"/>
    <w:multiLevelType w:val="hybridMultilevel"/>
    <w:tmpl w:val="E942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C2038"/>
    <w:multiLevelType w:val="hybridMultilevel"/>
    <w:tmpl w:val="D49C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CB63C8"/>
    <w:multiLevelType w:val="hybridMultilevel"/>
    <w:tmpl w:val="640EE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1A5F77"/>
    <w:multiLevelType w:val="hybridMultilevel"/>
    <w:tmpl w:val="55540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BF6AF0"/>
    <w:multiLevelType w:val="hybridMultilevel"/>
    <w:tmpl w:val="4DC2626C"/>
    <w:lvl w:ilvl="0" w:tplc="AC22233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67435430"/>
    <w:multiLevelType w:val="hybridMultilevel"/>
    <w:tmpl w:val="432EA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BA047D"/>
    <w:multiLevelType w:val="hybridMultilevel"/>
    <w:tmpl w:val="3602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B0AAD"/>
    <w:multiLevelType w:val="hybridMultilevel"/>
    <w:tmpl w:val="ED10FE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63F90"/>
    <w:multiLevelType w:val="hybridMultilevel"/>
    <w:tmpl w:val="6D8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E37D5"/>
    <w:multiLevelType w:val="hybridMultilevel"/>
    <w:tmpl w:val="3FF624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166310E"/>
    <w:multiLevelType w:val="hybridMultilevel"/>
    <w:tmpl w:val="404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D48CF"/>
    <w:multiLevelType w:val="hybridMultilevel"/>
    <w:tmpl w:val="8D0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A66C5"/>
    <w:multiLevelType w:val="hybridMultilevel"/>
    <w:tmpl w:val="E1645712"/>
    <w:lvl w:ilvl="0" w:tplc="A2B46E4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2260E"/>
    <w:multiLevelType w:val="hybridMultilevel"/>
    <w:tmpl w:val="83C80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15"/>
  </w:num>
  <w:num w:numId="4">
    <w:abstractNumId w:val="12"/>
  </w:num>
  <w:num w:numId="5">
    <w:abstractNumId w:val="9"/>
  </w:num>
  <w:num w:numId="6">
    <w:abstractNumId w:val="2"/>
  </w:num>
  <w:num w:numId="7">
    <w:abstractNumId w:val="16"/>
  </w:num>
  <w:num w:numId="8">
    <w:abstractNumId w:val="25"/>
  </w:num>
  <w:num w:numId="9">
    <w:abstractNumId w:val="10"/>
  </w:num>
  <w:num w:numId="10">
    <w:abstractNumId w:val="24"/>
  </w:num>
  <w:num w:numId="11">
    <w:abstractNumId w:val="0"/>
  </w:num>
  <w:num w:numId="12">
    <w:abstractNumId w:val="6"/>
  </w:num>
  <w:num w:numId="13">
    <w:abstractNumId w:val="13"/>
  </w:num>
  <w:num w:numId="14">
    <w:abstractNumId w:val="18"/>
  </w:num>
  <w:num w:numId="15">
    <w:abstractNumId w:val="5"/>
  </w:num>
  <w:num w:numId="16">
    <w:abstractNumId w:val="26"/>
  </w:num>
  <w:num w:numId="17">
    <w:abstractNumId w:val="17"/>
  </w:num>
  <w:num w:numId="18">
    <w:abstractNumId w:val="3"/>
  </w:num>
  <w:num w:numId="19">
    <w:abstractNumId w:val="4"/>
  </w:num>
  <w:num w:numId="20">
    <w:abstractNumId w:val="21"/>
  </w:num>
  <w:num w:numId="21">
    <w:abstractNumId w:val="20"/>
  </w:num>
  <w:num w:numId="22">
    <w:abstractNumId w:val="23"/>
  </w:num>
  <w:num w:numId="23">
    <w:abstractNumId w:val="7"/>
  </w:num>
  <w:num w:numId="24">
    <w:abstractNumId w:val="14"/>
  </w:num>
  <w:num w:numId="25">
    <w:abstractNumId w:val="8"/>
  </w:num>
  <w:num w:numId="26">
    <w:abstractNumId w:val="27"/>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27"/>
    <w:rsid w:val="00006F50"/>
    <w:rsid w:val="000104DE"/>
    <w:rsid w:val="000111F5"/>
    <w:rsid w:val="00012CD7"/>
    <w:rsid w:val="00015043"/>
    <w:rsid w:val="00021A0B"/>
    <w:rsid w:val="00022AAF"/>
    <w:rsid w:val="00022C51"/>
    <w:rsid w:val="000322DD"/>
    <w:rsid w:val="00036400"/>
    <w:rsid w:val="000400C6"/>
    <w:rsid w:val="00040C02"/>
    <w:rsid w:val="00040FBD"/>
    <w:rsid w:val="00044310"/>
    <w:rsid w:val="000449FD"/>
    <w:rsid w:val="00045740"/>
    <w:rsid w:val="000462FA"/>
    <w:rsid w:val="000534D1"/>
    <w:rsid w:val="000553D6"/>
    <w:rsid w:val="0006310C"/>
    <w:rsid w:val="0006594B"/>
    <w:rsid w:val="0006755A"/>
    <w:rsid w:val="00077570"/>
    <w:rsid w:val="00080D7A"/>
    <w:rsid w:val="0008186D"/>
    <w:rsid w:val="00081B96"/>
    <w:rsid w:val="00082D9B"/>
    <w:rsid w:val="00085089"/>
    <w:rsid w:val="00091F53"/>
    <w:rsid w:val="000926E4"/>
    <w:rsid w:val="00093E13"/>
    <w:rsid w:val="00094F8E"/>
    <w:rsid w:val="00095401"/>
    <w:rsid w:val="0009581C"/>
    <w:rsid w:val="000A2715"/>
    <w:rsid w:val="000A3BDE"/>
    <w:rsid w:val="000A5E62"/>
    <w:rsid w:val="000B413F"/>
    <w:rsid w:val="000B45D1"/>
    <w:rsid w:val="000B7471"/>
    <w:rsid w:val="000C1394"/>
    <w:rsid w:val="000C3E85"/>
    <w:rsid w:val="000C48C4"/>
    <w:rsid w:val="000C5215"/>
    <w:rsid w:val="000C6769"/>
    <w:rsid w:val="000C78A1"/>
    <w:rsid w:val="000D075E"/>
    <w:rsid w:val="000D3092"/>
    <w:rsid w:val="000D3CCF"/>
    <w:rsid w:val="000D46DE"/>
    <w:rsid w:val="000D74AE"/>
    <w:rsid w:val="000D7B27"/>
    <w:rsid w:val="000E03AE"/>
    <w:rsid w:val="000E0E2C"/>
    <w:rsid w:val="000E15C3"/>
    <w:rsid w:val="000E2433"/>
    <w:rsid w:val="000F4A4F"/>
    <w:rsid w:val="000F61FF"/>
    <w:rsid w:val="00102CE8"/>
    <w:rsid w:val="001072B2"/>
    <w:rsid w:val="001105CD"/>
    <w:rsid w:val="00112E2C"/>
    <w:rsid w:val="00116610"/>
    <w:rsid w:val="00117314"/>
    <w:rsid w:val="00122DD3"/>
    <w:rsid w:val="001252B8"/>
    <w:rsid w:val="00125BBE"/>
    <w:rsid w:val="00127279"/>
    <w:rsid w:val="00133583"/>
    <w:rsid w:val="00134006"/>
    <w:rsid w:val="001378B4"/>
    <w:rsid w:val="001431A4"/>
    <w:rsid w:val="00144107"/>
    <w:rsid w:val="001458BD"/>
    <w:rsid w:val="001462E7"/>
    <w:rsid w:val="0014703C"/>
    <w:rsid w:val="00147059"/>
    <w:rsid w:val="001528B4"/>
    <w:rsid w:val="001611C4"/>
    <w:rsid w:val="0016436E"/>
    <w:rsid w:val="00165A00"/>
    <w:rsid w:val="00174C92"/>
    <w:rsid w:val="00176C80"/>
    <w:rsid w:val="001779FB"/>
    <w:rsid w:val="001806D9"/>
    <w:rsid w:val="001827C0"/>
    <w:rsid w:val="001873BB"/>
    <w:rsid w:val="00190785"/>
    <w:rsid w:val="00190D84"/>
    <w:rsid w:val="0019239B"/>
    <w:rsid w:val="001929E8"/>
    <w:rsid w:val="00192CBF"/>
    <w:rsid w:val="001A1ACE"/>
    <w:rsid w:val="001A40D7"/>
    <w:rsid w:val="001B26AA"/>
    <w:rsid w:val="001B4C05"/>
    <w:rsid w:val="001B6227"/>
    <w:rsid w:val="001B6D51"/>
    <w:rsid w:val="001C206A"/>
    <w:rsid w:val="001C29D4"/>
    <w:rsid w:val="001C6371"/>
    <w:rsid w:val="001C644A"/>
    <w:rsid w:val="001C6CE0"/>
    <w:rsid w:val="001D0D49"/>
    <w:rsid w:val="001D1D89"/>
    <w:rsid w:val="001D2F73"/>
    <w:rsid w:val="001D3C74"/>
    <w:rsid w:val="001D433A"/>
    <w:rsid w:val="001D5245"/>
    <w:rsid w:val="001D5749"/>
    <w:rsid w:val="001D7699"/>
    <w:rsid w:val="001D7EA1"/>
    <w:rsid w:val="001E1571"/>
    <w:rsid w:val="001E1945"/>
    <w:rsid w:val="001E1C8F"/>
    <w:rsid w:val="001E2D57"/>
    <w:rsid w:val="001E40AD"/>
    <w:rsid w:val="001E6EA4"/>
    <w:rsid w:val="001F2529"/>
    <w:rsid w:val="001F4B37"/>
    <w:rsid w:val="001F4B6A"/>
    <w:rsid w:val="001F4C40"/>
    <w:rsid w:val="001F5FF9"/>
    <w:rsid w:val="0020053A"/>
    <w:rsid w:val="002018F4"/>
    <w:rsid w:val="00207D91"/>
    <w:rsid w:val="00212655"/>
    <w:rsid w:val="0021295A"/>
    <w:rsid w:val="00220E08"/>
    <w:rsid w:val="002218BB"/>
    <w:rsid w:val="002247CE"/>
    <w:rsid w:val="00224D7B"/>
    <w:rsid w:val="00226493"/>
    <w:rsid w:val="002308D7"/>
    <w:rsid w:val="00231E09"/>
    <w:rsid w:val="00232392"/>
    <w:rsid w:val="00232BEB"/>
    <w:rsid w:val="0023449F"/>
    <w:rsid w:val="00235038"/>
    <w:rsid w:val="00235DAC"/>
    <w:rsid w:val="0023657C"/>
    <w:rsid w:val="00240CBA"/>
    <w:rsid w:val="00241345"/>
    <w:rsid w:val="00241ECA"/>
    <w:rsid w:val="002546A8"/>
    <w:rsid w:val="002576C0"/>
    <w:rsid w:val="00257805"/>
    <w:rsid w:val="00257C0C"/>
    <w:rsid w:val="00265B92"/>
    <w:rsid w:val="00266BAB"/>
    <w:rsid w:val="00272E56"/>
    <w:rsid w:val="002771AF"/>
    <w:rsid w:val="00280B18"/>
    <w:rsid w:val="00282548"/>
    <w:rsid w:val="00282B39"/>
    <w:rsid w:val="00291A42"/>
    <w:rsid w:val="00293DF9"/>
    <w:rsid w:val="002940E8"/>
    <w:rsid w:val="002957CC"/>
    <w:rsid w:val="002A4C4D"/>
    <w:rsid w:val="002A51AC"/>
    <w:rsid w:val="002A7DD5"/>
    <w:rsid w:val="002B0C8A"/>
    <w:rsid w:val="002B1FEC"/>
    <w:rsid w:val="002C0DA6"/>
    <w:rsid w:val="002C448D"/>
    <w:rsid w:val="002C7DA5"/>
    <w:rsid w:val="002D000A"/>
    <w:rsid w:val="002D2445"/>
    <w:rsid w:val="002D2FB2"/>
    <w:rsid w:val="002E6207"/>
    <w:rsid w:val="002E69FD"/>
    <w:rsid w:val="00300F37"/>
    <w:rsid w:val="003104C1"/>
    <w:rsid w:val="0031167F"/>
    <w:rsid w:val="00322A1C"/>
    <w:rsid w:val="0032456D"/>
    <w:rsid w:val="00324B55"/>
    <w:rsid w:val="00331AC5"/>
    <w:rsid w:val="0033570F"/>
    <w:rsid w:val="0034172D"/>
    <w:rsid w:val="003427DF"/>
    <w:rsid w:val="003476B5"/>
    <w:rsid w:val="00353CF6"/>
    <w:rsid w:val="003657A0"/>
    <w:rsid w:val="003662BA"/>
    <w:rsid w:val="00366EB5"/>
    <w:rsid w:val="00366EE0"/>
    <w:rsid w:val="003675FA"/>
    <w:rsid w:val="0037743D"/>
    <w:rsid w:val="00380519"/>
    <w:rsid w:val="00381089"/>
    <w:rsid w:val="00381B1C"/>
    <w:rsid w:val="003874D3"/>
    <w:rsid w:val="00393263"/>
    <w:rsid w:val="003A24A9"/>
    <w:rsid w:val="003A2624"/>
    <w:rsid w:val="003B261E"/>
    <w:rsid w:val="003B27C2"/>
    <w:rsid w:val="003B4CE9"/>
    <w:rsid w:val="003B5037"/>
    <w:rsid w:val="003C028A"/>
    <w:rsid w:val="003C238F"/>
    <w:rsid w:val="003D0136"/>
    <w:rsid w:val="003D3AC7"/>
    <w:rsid w:val="003D658C"/>
    <w:rsid w:val="003D7998"/>
    <w:rsid w:val="003E10CF"/>
    <w:rsid w:val="003E3C45"/>
    <w:rsid w:val="003E659D"/>
    <w:rsid w:val="003F1403"/>
    <w:rsid w:val="003F388F"/>
    <w:rsid w:val="003F4646"/>
    <w:rsid w:val="00402290"/>
    <w:rsid w:val="00402A56"/>
    <w:rsid w:val="00403A8F"/>
    <w:rsid w:val="004062BD"/>
    <w:rsid w:val="004065AB"/>
    <w:rsid w:val="00410F42"/>
    <w:rsid w:val="00411772"/>
    <w:rsid w:val="00413E30"/>
    <w:rsid w:val="00414166"/>
    <w:rsid w:val="00415024"/>
    <w:rsid w:val="00423C86"/>
    <w:rsid w:val="00425531"/>
    <w:rsid w:val="004265A9"/>
    <w:rsid w:val="00430E25"/>
    <w:rsid w:val="00431C67"/>
    <w:rsid w:val="00432D2B"/>
    <w:rsid w:val="00433E28"/>
    <w:rsid w:val="0043476A"/>
    <w:rsid w:val="00435A61"/>
    <w:rsid w:val="00440FA4"/>
    <w:rsid w:val="00444761"/>
    <w:rsid w:val="00445583"/>
    <w:rsid w:val="00446391"/>
    <w:rsid w:val="0044673A"/>
    <w:rsid w:val="00447E43"/>
    <w:rsid w:val="00451C63"/>
    <w:rsid w:val="0045206C"/>
    <w:rsid w:val="00461017"/>
    <w:rsid w:val="0046200D"/>
    <w:rsid w:val="004621CA"/>
    <w:rsid w:val="00464395"/>
    <w:rsid w:val="0046528E"/>
    <w:rsid w:val="004678A1"/>
    <w:rsid w:val="00471945"/>
    <w:rsid w:val="00473826"/>
    <w:rsid w:val="004755F7"/>
    <w:rsid w:val="00475716"/>
    <w:rsid w:val="00485D96"/>
    <w:rsid w:val="004874DE"/>
    <w:rsid w:val="00490567"/>
    <w:rsid w:val="00491D0E"/>
    <w:rsid w:val="00494C4B"/>
    <w:rsid w:val="00497167"/>
    <w:rsid w:val="004A1EB8"/>
    <w:rsid w:val="004A3E45"/>
    <w:rsid w:val="004A3F95"/>
    <w:rsid w:val="004A45EF"/>
    <w:rsid w:val="004A47D5"/>
    <w:rsid w:val="004B1A7B"/>
    <w:rsid w:val="004B1EFE"/>
    <w:rsid w:val="004B4C99"/>
    <w:rsid w:val="004C05C4"/>
    <w:rsid w:val="004C197E"/>
    <w:rsid w:val="004C1A64"/>
    <w:rsid w:val="004C367E"/>
    <w:rsid w:val="004C4ABC"/>
    <w:rsid w:val="004C51DA"/>
    <w:rsid w:val="004C6830"/>
    <w:rsid w:val="004D0429"/>
    <w:rsid w:val="004D0D7D"/>
    <w:rsid w:val="004D212E"/>
    <w:rsid w:val="004D229D"/>
    <w:rsid w:val="004D42E5"/>
    <w:rsid w:val="004D7A40"/>
    <w:rsid w:val="004E5527"/>
    <w:rsid w:val="004F1EB7"/>
    <w:rsid w:val="004F4767"/>
    <w:rsid w:val="004F4E4B"/>
    <w:rsid w:val="004F7486"/>
    <w:rsid w:val="00501C0A"/>
    <w:rsid w:val="00501D39"/>
    <w:rsid w:val="005040B9"/>
    <w:rsid w:val="005054C2"/>
    <w:rsid w:val="00505F61"/>
    <w:rsid w:val="00511307"/>
    <w:rsid w:val="00511FE4"/>
    <w:rsid w:val="005137AB"/>
    <w:rsid w:val="0052211A"/>
    <w:rsid w:val="00522B70"/>
    <w:rsid w:val="00532BF6"/>
    <w:rsid w:val="005332C7"/>
    <w:rsid w:val="00533E9F"/>
    <w:rsid w:val="0053739F"/>
    <w:rsid w:val="00551695"/>
    <w:rsid w:val="00552BD0"/>
    <w:rsid w:val="00553D50"/>
    <w:rsid w:val="00555304"/>
    <w:rsid w:val="00557780"/>
    <w:rsid w:val="0056273E"/>
    <w:rsid w:val="00562EF4"/>
    <w:rsid w:val="00564245"/>
    <w:rsid w:val="00565A49"/>
    <w:rsid w:val="00566158"/>
    <w:rsid w:val="005677A3"/>
    <w:rsid w:val="00571DF6"/>
    <w:rsid w:val="00573277"/>
    <w:rsid w:val="00574C19"/>
    <w:rsid w:val="00576BAC"/>
    <w:rsid w:val="00577600"/>
    <w:rsid w:val="0057769F"/>
    <w:rsid w:val="00577A01"/>
    <w:rsid w:val="005814D5"/>
    <w:rsid w:val="005819FC"/>
    <w:rsid w:val="00584289"/>
    <w:rsid w:val="00590357"/>
    <w:rsid w:val="00590395"/>
    <w:rsid w:val="00593FC5"/>
    <w:rsid w:val="00594ACC"/>
    <w:rsid w:val="00595B6A"/>
    <w:rsid w:val="00596857"/>
    <w:rsid w:val="00596A50"/>
    <w:rsid w:val="00597D9E"/>
    <w:rsid w:val="005A17F9"/>
    <w:rsid w:val="005A1FC0"/>
    <w:rsid w:val="005A2497"/>
    <w:rsid w:val="005A39AE"/>
    <w:rsid w:val="005A4312"/>
    <w:rsid w:val="005A7F71"/>
    <w:rsid w:val="005B04ED"/>
    <w:rsid w:val="005B1D29"/>
    <w:rsid w:val="005B3730"/>
    <w:rsid w:val="005B58FC"/>
    <w:rsid w:val="005B6F0B"/>
    <w:rsid w:val="005C1906"/>
    <w:rsid w:val="005C22B2"/>
    <w:rsid w:val="005C76FB"/>
    <w:rsid w:val="005C7AD2"/>
    <w:rsid w:val="005C7D18"/>
    <w:rsid w:val="005C7E1C"/>
    <w:rsid w:val="005D697B"/>
    <w:rsid w:val="005D7AEE"/>
    <w:rsid w:val="005E4FED"/>
    <w:rsid w:val="005E5E08"/>
    <w:rsid w:val="005E7412"/>
    <w:rsid w:val="005F0F7A"/>
    <w:rsid w:val="005F21EA"/>
    <w:rsid w:val="005F2395"/>
    <w:rsid w:val="005F3F4A"/>
    <w:rsid w:val="005F67F5"/>
    <w:rsid w:val="005F7B82"/>
    <w:rsid w:val="006008D4"/>
    <w:rsid w:val="00606CAF"/>
    <w:rsid w:val="00606D20"/>
    <w:rsid w:val="00614F9A"/>
    <w:rsid w:val="00616374"/>
    <w:rsid w:val="00616647"/>
    <w:rsid w:val="00620CB6"/>
    <w:rsid w:val="00624995"/>
    <w:rsid w:val="00624F60"/>
    <w:rsid w:val="0062504F"/>
    <w:rsid w:val="006265C8"/>
    <w:rsid w:val="00626615"/>
    <w:rsid w:val="006274C2"/>
    <w:rsid w:val="006300C9"/>
    <w:rsid w:val="006309AE"/>
    <w:rsid w:val="00632DDD"/>
    <w:rsid w:val="00633C49"/>
    <w:rsid w:val="00634803"/>
    <w:rsid w:val="0063599D"/>
    <w:rsid w:val="00642BD9"/>
    <w:rsid w:val="006465E3"/>
    <w:rsid w:val="006501EE"/>
    <w:rsid w:val="006548B1"/>
    <w:rsid w:val="006609EF"/>
    <w:rsid w:val="00661899"/>
    <w:rsid w:val="00671AD4"/>
    <w:rsid w:val="00671E90"/>
    <w:rsid w:val="006725CA"/>
    <w:rsid w:val="0067307A"/>
    <w:rsid w:val="00675269"/>
    <w:rsid w:val="00675640"/>
    <w:rsid w:val="00675B9D"/>
    <w:rsid w:val="00675EA4"/>
    <w:rsid w:val="00676140"/>
    <w:rsid w:val="00681606"/>
    <w:rsid w:val="006831C7"/>
    <w:rsid w:val="006847B1"/>
    <w:rsid w:val="006849C7"/>
    <w:rsid w:val="00684CD3"/>
    <w:rsid w:val="0068572D"/>
    <w:rsid w:val="00686A6F"/>
    <w:rsid w:val="00686EC8"/>
    <w:rsid w:val="00687ACF"/>
    <w:rsid w:val="0069024D"/>
    <w:rsid w:val="00693EFA"/>
    <w:rsid w:val="006972C8"/>
    <w:rsid w:val="006A142B"/>
    <w:rsid w:val="006A3355"/>
    <w:rsid w:val="006A6E2C"/>
    <w:rsid w:val="006A7465"/>
    <w:rsid w:val="006A776A"/>
    <w:rsid w:val="006B05DD"/>
    <w:rsid w:val="006B706E"/>
    <w:rsid w:val="006B7DC3"/>
    <w:rsid w:val="006C5959"/>
    <w:rsid w:val="006D1455"/>
    <w:rsid w:val="006D407C"/>
    <w:rsid w:val="006D57C5"/>
    <w:rsid w:val="006E259F"/>
    <w:rsid w:val="006E2B3D"/>
    <w:rsid w:val="006E4A3D"/>
    <w:rsid w:val="006E7D2E"/>
    <w:rsid w:val="006F2C3C"/>
    <w:rsid w:val="006F5B3F"/>
    <w:rsid w:val="00700358"/>
    <w:rsid w:val="00701589"/>
    <w:rsid w:val="00702BBD"/>
    <w:rsid w:val="007032B7"/>
    <w:rsid w:val="00704367"/>
    <w:rsid w:val="0070448F"/>
    <w:rsid w:val="0070500D"/>
    <w:rsid w:val="00707F4D"/>
    <w:rsid w:val="007100C1"/>
    <w:rsid w:val="00710F9C"/>
    <w:rsid w:val="007112D4"/>
    <w:rsid w:val="007127A0"/>
    <w:rsid w:val="00713A84"/>
    <w:rsid w:val="007162FB"/>
    <w:rsid w:val="00721CB2"/>
    <w:rsid w:val="0072394E"/>
    <w:rsid w:val="00724D10"/>
    <w:rsid w:val="0073231A"/>
    <w:rsid w:val="007378A7"/>
    <w:rsid w:val="00742FC0"/>
    <w:rsid w:val="00745EEA"/>
    <w:rsid w:val="00746A3D"/>
    <w:rsid w:val="00750663"/>
    <w:rsid w:val="00750891"/>
    <w:rsid w:val="00752D39"/>
    <w:rsid w:val="00754AC0"/>
    <w:rsid w:val="007571E8"/>
    <w:rsid w:val="00761183"/>
    <w:rsid w:val="00761F11"/>
    <w:rsid w:val="00763E19"/>
    <w:rsid w:val="0076475C"/>
    <w:rsid w:val="00764D54"/>
    <w:rsid w:val="0076516A"/>
    <w:rsid w:val="00765699"/>
    <w:rsid w:val="007666AB"/>
    <w:rsid w:val="00767822"/>
    <w:rsid w:val="00783CD5"/>
    <w:rsid w:val="0078781C"/>
    <w:rsid w:val="0079156E"/>
    <w:rsid w:val="00792417"/>
    <w:rsid w:val="00792E58"/>
    <w:rsid w:val="007A04DB"/>
    <w:rsid w:val="007A3E27"/>
    <w:rsid w:val="007A59DE"/>
    <w:rsid w:val="007A6B17"/>
    <w:rsid w:val="007B0D8C"/>
    <w:rsid w:val="007B3752"/>
    <w:rsid w:val="007B598B"/>
    <w:rsid w:val="007B618B"/>
    <w:rsid w:val="007C07B8"/>
    <w:rsid w:val="007C26C3"/>
    <w:rsid w:val="007C2B04"/>
    <w:rsid w:val="007C2B40"/>
    <w:rsid w:val="007C455E"/>
    <w:rsid w:val="007C6B17"/>
    <w:rsid w:val="007C6BD5"/>
    <w:rsid w:val="007E41DB"/>
    <w:rsid w:val="007E51C2"/>
    <w:rsid w:val="007E6AA5"/>
    <w:rsid w:val="007F0253"/>
    <w:rsid w:val="007F280B"/>
    <w:rsid w:val="007F3C9F"/>
    <w:rsid w:val="007F6A4B"/>
    <w:rsid w:val="00801770"/>
    <w:rsid w:val="00801B1E"/>
    <w:rsid w:val="0080238B"/>
    <w:rsid w:val="00807491"/>
    <w:rsid w:val="00807746"/>
    <w:rsid w:val="008169F2"/>
    <w:rsid w:val="00817A3E"/>
    <w:rsid w:val="00820C50"/>
    <w:rsid w:val="008216AC"/>
    <w:rsid w:val="00822FD5"/>
    <w:rsid w:val="00830048"/>
    <w:rsid w:val="00830349"/>
    <w:rsid w:val="0083085F"/>
    <w:rsid w:val="00836E45"/>
    <w:rsid w:val="0083781A"/>
    <w:rsid w:val="00840052"/>
    <w:rsid w:val="00842A84"/>
    <w:rsid w:val="008432CD"/>
    <w:rsid w:val="00843508"/>
    <w:rsid w:val="00843809"/>
    <w:rsid w:val="00843AB8"/>
    <w:rsid w:val="00843D89"/>
    <w:rsid w:val="0084738D"/>
    <w:rsid w:val="00862559"/>
    <w:rsid w:val="00867014"/>
    <w:rsid w:val="00877D44"/>
    <w:rsid w:val="00882361"/>
    <w:rsid w:val="008853CC"/>
    <w:rsid w:val="00886108"/>
    <w:rsid w:val="00886E06"/>
    <w:rsid w:val="00887075"/>
    <w:rsid w:val="008900F2"/>
    <w:rsid w:val="0089184C"/>
    <w:rsid w:val="008919BD"/>
    <w:rsid w:val="008A4A90"/>
    <w:rsid w:val="008B0109"/>
    <w:rsid w:val="008B12E8"/>
    <w:rsid w:val="008B1722"/>
    <w:rsid w:val="008B2557"/>
    <w:rsid w:val="008B5FAD"/>
    <w:rsid w:val="008C2C18"/>
    <w:rsid w:val="008C3A19"/>
    <w:rsid w:val="008C6035"/>
    <w:rsid w:val="008C6DCB"/>
    <w:rsid w:val="008D194A"/>
    <w:rsid w:val="008D53A7"/>
    <w:rsid w:val="008D618C"/>
    <w:rsid w:val="008D7DE0"/>
    <w:rsid w:val="008E1476"/>
    <w:rsid w:val="008E19AE"/>
    <w:rsid w:val="008E287F"/>
    <w:rsid w:val="008F0705"/>
    <w:rsid w:val="008F1893"/>
    <w:rsid w:val="008F3172"/>
    <w:rsid w:val="008F769F"/>
    <w:rsid w:val="009004FE"/>
    <w:rsid w:val="00900D28"/>
    <w:rsid w:val="00902777"/>
    <w:rsid w:val="0090533F"/>
    <w:rsid w:val="009073C5"/>
    <w:rsid w:val="00911508"/>
    <w:rsid w:val="00914D4B"/>
    <w:rsid w:val="0091707E"/>
    <w:rsid w:val="009207A9"/>
    <w:rsid w:val="00921CB7"/>
    <w:rsid w:val="00922177"/>
    <w:rsid w:val="00922BD1"/>
    <w:rsid w:val="009236AB"/>
    <w:rsid w:val="0092378E"/>
    <w:rsid w:val="009237B0"/>
    <w:rsid w:val="00927AF6"/>
    <w:rsid w:val="00931AE8"/>
    <w:rsid w:val="009349E7"/>
    <w:rsid w:val="00934C33"/>
    <w:rsid w:val="00934F37"/>
    <w:rsid w:val="0093629B"/>
    <w:rsid w:val="009372FB"/>
    <w:rsid w:val="0093754F"/>
    <w:rsid w:val="0094146B"/>
    <w:rsid w:val="00941E1C"/>
    <w:rsid w:val="00944ADF"/>
    <w:rsid w:val="00945497"/>
    <w:rsid w:val="00947C56"/>
    <w:rsid w:val="00953B95"/>
    <w:rsid w:val="00955265"/>
    <w:rsid w:val="009553DC"/>
    <w:rsid w:val="0095703A"/>
    <w:rsid w:val="00964696"/>
    <w:rsid w:val="0096610F"/>
    <w:rsid w:val="009661EF"/>
    <w:rsid w:val="00966554"/>
    <w:rsid w:val="009678B7"/>
    <w:rsid w:val="0096796A"/>
    <w:rsid w:val="00967B53"/>
    <w:rsid w:val="009710AF"/>
    <w:rsid w:val="00974F14"/>
    <w:rsid w:val="009754AC"/>
    <w:rsid w:val="00982EE0"/>
    <w:rsid w:val="00984221"/>
    <w:rsid w:val="009856B7"/>
    <w:rsid w:val="00987642"/>
    <w:rsid w:val="00987C26"/>
    <w:rsid w:val="009906A6"/>
    <w:rsid w:val="0099220A"/>
    <w:rsid w:val="009A00AE"/>
    <w:rsid w:val="009A3C7C"/>
    <w:rsid w:val="009A5371"/>
    <w:rsid w:val="009A77A2"/>
    <w:rsid w:val="009B5900"/>
    <w:rsid w:val="009B697F"/>
    <w:rsid w:val="009C73D8"/>
    <w:rsid w:val="009C7536"/>
    <w:rsid w:val="009C7B4E"/>
    <w:rsid w:val="009D3982"/>
    <w:rsid w:val="009D598E"/>
    <w:rsid w:val="009D74BE"/>
    <w:rsid w:val="009E13E0"/>
    <w:rsid w:val="009E1663"/>
    <w:rsid w:val="009E1BBE"/>
    <w:rsid w:val="009E3100"/>
    <w:rsid w:val="009E310E"/>
    <w:rsid w:val="009E3966"/>
    <w:rsid w:val="009F11BC"/>
    <w:rsid w:val="00A120E9"/>
    <w:rsid w:val="00A17DAA"/>
    <w:rsid w:val="00A2067B"/>
    <w:rsid w:val="00A232BF"/>
    <w:rsid w:val="00A236F6"/>
    <w:rsid w:val="00A23747"/>
    <w:rsid w:val="00A249AD"/>
    <w:rsid w:val="00A31699"/>
    <w:rsid w:val="00A32AA1"/>
    <w:rsid w:val="00A3745B"/>
    <w:rsid w:val="00A4389D"/>
    <w:rsid w:val="00A43CD3"/>
    <w:rsid w:val="00A44397"/>
    <w:rsid w:val="00A502B0"/>
    <w:rsid w:val="00A51CED"/>
    <w:rsid w:val="00A53392"/>
    <w:rsid w:val="00A556FB"/>
    <w:rsid w:val="00A66735"/>
    <w:rsid w:val="00A708BC"/>
    <w:rsid w:val="00A716BF"/>
    <w:rsid w:val="00A77904"/>
    <w:rsid w:val="00A81141"/>
    <w:rsid w:val="00A81DC7"/>
    <w:rsid w:val="00A8316D"/>
    <w:rsid w:val="00A865AA"/>
    <w:rsid w:val="00A90FF5"/>
    <w:rsid w:val="00A93A1E"/>
    <w:rsid w:val="00AA75F2"/>
    <w:rsid w:val="00AA777C"/>
    <w:rsid w:val="00AA7F68"/>
    <w:rsid w:val="00AB0D1C"/>
    <w:rsid w:val="00AB23E0"/>
    <w:rsid w:val="00AB3CAF"/>
    <w:rsid w:val="00AB4C25"/>
    <w:rsid w:val="00AB6CE8"/>
    <w:rsid w:val="00AB7542"/>
    <w:rsid w:val="00AC0A1C"/>
    <w:rsid w:val="00AC1417"/>
    <w:rsid w:val="00AC2AC3"/>
    <w:rsid w:val="00AC3D96"/>
    <w:rsid w:val="00AC3F31"/>
    <w:rsid w:val="00AC5D47"/>
    <w:rsid w:val="00AC7067"/>
    <w:rsid w:val="00AD0EAC"/>
    <w:rsid w:val="00AD7146"/>
    <w:rsid w:val="00AE0644"/>
    <w:rsid w:val="00AE0BA8"/>
    <w:rsid w:val="00AE12C4"/>
    <w:rsid w:val="00AE2DB2"/>
    <w:rsid w:val="00AE508E"/>
    <w:rsid w:val="00AE65E5"/>
    <w:rsid w:val="00AE6A24"/>
    <w:rsid w:val="00AF0A5D"/>
    <w:rsid w:val="00AF1458"/>
    <w:rsid w:val="00AF3E01"/>
    <w:rsid w:val="00AF5478"/>
    <w:rsid w:val="00AF647A"/>
    <w:rsid w:val="00AF697D"/>
    <w:rsid w:val="00B00553"/>
    <w:rsid w:val="00B01677"/>
    <w:rsid w:val="00B02CB9"/>
    <w:rsid w:val="00B039B0"/>
    <w:rsid w:val="00B04499"/>
    <w:rsid w:val="00B05D8B"/>
    <w:rsid w:val="00B07835"/>
    <w:rsid w:val="00B10AFB"/>
    <w:rsid w:val="00B14122"/>
    <w:rsid w:val="00B1480C"/>
    <w:rsid w:val="00B16431"/>
    <w:rsid w:val="00B16681"/>
    <w:rsid w:val="00B2068A"/>
    <w:rsid w:val="00B2095C"/>
    <w:rsid w:val="00B223D4"/>
    <w:rsid w:val="00B27E0C"/>
    <w:rsid w:val="00B30A6D"/>
    <w:rsid w:val="00B317F7"/>
    <w:rsid w:val="00B347EB"/>
    <w:rsid w:val="00B36AF1"/>
    <w:rsid w:val="00B40EF4"/>
    <w:rsid w:val="00B41531"/>
    <w:rsid w:val="00B41735"/>
    <w:rsid w:val="00B423BE"/>
    <w:rsid w:val="00B429AE"/>
    <w:rsid w:val="00B437D4"/>
    <w:rsid w:val="00B43A69"/>
    <w:rsid w:val="00B47170"/>
    <w:rsid w:val="00B52B9F"/>
    <w:rsid w:val="00B52F5F"/>
    <w:rsid w:val="00B56974"/>
    <w:rsid w:val="00B66CB1"/>
    <w:rsid w:val="00B75E2E"/>
    <w:rsid w:val="00B76E73"/>
    <w:rsid w:val="00B77C17"/>
    <w:rsid w:val="00B804F9"/>
    <w:rsid w:val="00B912C6"/>
    <w:rsid w:val="00B94439"/>
    <w:rsid w:val="00B97F50"/>
    <w:rsid w:val="00BA13C1"/>
    <w:rsid w:val="00BA157D"/>
    <w:rsid w:val="00BA17C0"/>
    <w:rsid w:val="00BA3C92"/>
    <w:rsid w:val="00BA5E80"/>
    <w:rsid w:val="00BB0402"/>
    <w:rsid w:val="00BB0B88"/>
    <w:rsid w:val="00BB0C78"/>
    <w:rsid w:val="00BC0CA9"/>
    <w:rsid w:val="00BC3516"/>
    <w:rsid w:val="00BC5A0E"/>
    <w:rsid w:val="00BD3660"/>
    <w:rsid w:val="00BE28CF"/>
    <w:rsid w:val="00BE480D"/>
    <w:rsid w:val="00BE5339"/>
    <w:rsid w:val="00BF1B47"/>
    <w:rsid w:val="00BF278D"/>
    <w:rsid w:val="00BF60F2"/>
    <w:rsid w:val="00BF6D7A"/>
    <w:rsid w:val="00C003DB"/>
    <w:rsid w:val="00C06B48"/>
    <w:rsid w:val="00C12CC0"/>
    <w:rsid w:val="00C12E6F"/>
    <w:rsid w:val="00C132A9"/>
    <w:rsid w:val="00C14B6C"/>
    <w:rsid w:val="00C25953"/>
    <w:rsid w:val="00C25D5F"/>
    <w:rsid w:val="00C2754A"/>
    <w:rsid w:val="00C2756E"/>
    <w:rsid w:val="00C30DD8"/>
    <w:rsid w:val="00C31509"/>
    <w:rsid w:val="00C3250B"/>
    <w:rsid w:val="00C3601F"/>
    <w:rsid w:val="00C4006E"/>
    <w:rsid w:val="00C404ED"/>
    <w:rsid w:val="00C43B20"/>
    <w:rsid w:val="00C43C9E"/>
    <w:rsid w:val="00C44B18"/>
    <w:rsid w:val="00C45B7D"/>
    <w:rsid w:val="00C5023A"/>
    <w:rsid w:val="00C556ED"/>
    <w:rsid w:val="00C62F84"/>
    <w:rsid w:val="00C65006"/>
    <w:rsid w:val="00C70EA8"/>
    <w:rsid w:val="00C72FF2"/>
    <w:rsid w:val="00C730BF"/>
    <w:rsid w:val="00C73FCD"/>
    <w:rsid w:val="00C779E9"/>
    <w:rsid w:val="00C8031E"/>
    <w:rsid w:val="00C81394"/>
    <w:rsid w:val="00C827CA"/>
    <w:rsid w:val="00C82ABB"/>
    <w:rsid w:val="00C82F71"/>
    <w:rsid w:val="00C83AD4"/>
    <w:rsid w:val="00C84706"/>
    <w:rsid w:val="00C86C92"/>
    <w:rsid w:val="00C86F69"/>
    <w:rsid w:val="00C87D6B"/>
    <w:rsid w:val="00C9265D"/>
    <w:rsid w:val="00C92B8B"/>
    <w:rsid w:val="00C939F1"/>
    <w:rsid w:val="00C96274"/>
    <w:rsid w:val="00C97445"/>
    <w:rsid w:val="00C976F6"/>
    <w:rsid w:val="00CA147D"/>
    <w:rsid w:val="00CA3584"/>
    <w:rsid w:val="00CA3FF5"/>
    <w:rsid w:val="00CA5A01"/>
    <w:rsid w:val="00CA5AC7"/>
    <w:rsid w:val="00CA5FBD"/>
    <w:rsid w:val="00CA60A6"/>
    <w:rsid w:val="00CA68C0"/>
    <w:rsid w:val="00CA774B"/>
    <w:rsid w:val="00CB1387"/>
    <w:rsid w:val="00CB2396"/>
    <w:rsid w:val="00CB316E"/>
    <w:rsid w:val="00CC372C"/>
    <w:rsid w:val="00CC3F60"/>
    <w:rsid w:val="00CC5EC3"/>
    <w:rsid w:val="00CD06DD"/>
    <w:rsid w:val="00CD16F1"/>
    <w:rsid w:val="00CE4021"/>
    <w:rsid w:val="00CE4E2B"/>
    <w:rsid w:val="00CE5C91"/>
    <w:rsid w:val="00CE5D34"/>
    <w:rsid w:val="00CE5F56"/>
    <w:rsid w:val="00CE6AB7"/>
    <w:rsid w:val="00CF6E54"/>
    <w:rsid w:val="00D01339"/>
    <w:rsid w:val="00D0766B"/>
    <w:rsid w:val="00D0772E"/>
    <w:rsid w:val="00D10B88"/>
    <w:rsid w:val="00D122DA"/>
    <w:rsid w:val="00D12574"/>
    <w:rsid w:val="00D12761"/>
    <w:rsid w:val="00D12B11"/>
    <w:rsid w:val="00D1596B"/>
    <w:rsid w:val="00D20392"/>
    <w:rsid w:val="00D2161D"/>
    <w:rsid w:val="00D21A44"/>
    <w:rsid w:val="00D275EA"/>
    <w:rsid w:val="00D279B0"/>
    <w:rsid w:val="00D3209A"/>
    <w:rsid w:val="00D34117"/>
    <w:rsid w:val="00D41FC1"/>
    <w:rsid w:val="00D42E4B"/>
    <w:rsid w:val="00D45B30"/>
    <w:rsid w:val="00D4600D"/>
    <w:rsid w:val="00D50505"/>
    <w:rsid w:val="00D5197C"/>
    <w:rsid w:val="00D519D8"/>
    <w:rsid w:val="00D52645"/>
    <w:rsid w:val="00D60314"/>
    <w:rsid w:val="00D6332F"/>
    <w:rsid w:val="00D63F3A"/>
    <w:rsid w:val="00D671FE"/>
    <w:rsid w:val="00D70AA0"/>
    <w:rsid w:val="00D722E7"/>
    <w:rsid w:val="00D73420"/>
    <w:rsid w:val="00D74358"/>
    <w:rsid w:val="00D75A83"/>
    <w:rsid w:val="00D76C89"/>
    <w:rsid w:val="00D81092"/>
    <w:rsid w:val="00D83CF2"/>
    <w:rsid w:val="00D83EC3"/>
    <w:rsid w:val="00D85FFF"/>
    <w:rsid w:val="00D870E3"/>
    <w:rsid w:val="00D87434"/>
    <w:rsid w:val="00D91620"/>
    <w:rsid w:val="00D93BF7"/>
    <w:rsid w:val="00DA040D"/>
    <w:rsid w:val="00DA1B0C"/>
    <w:rsid w:val="00DA464A"/>
    <w:rsid w:val="00DB76BF"/>
    <w:rsid w:val="00DC0123"/>
    <w:rsid w:val="00DC2E8F"/>
    <w:rsid w:val="00DC56B9"/>
    <w:rsid w:val="00DC5AA3"/>
    <w:rsid w:val="00DC66A3"/>
    <w:rsid w:val="00DC68B5"/>
    <w:rsid w:val="00DD123A"/>
    <w:rsid w:val="00DD1C80"/>
    <w:rsid w:val="00DD511C"/>
    <w:rsid w:val="00DE0B34"/>
    <w:rsid w:val="00DE2708"/>
    <w:rsid w:val="00DE3C60"/>
    <w:rsid w:val="00DE3EDD"/>
    <w:rsid w:val="00DE4BE2"/>
    <w:rsid w:val="00DF264A"/>
    <w:rsid w:val="00DF4D0D"/>
    <w:rsid w:val="00DF57AA"/>
    <w:rsid w:val="00DF6AE5"/>
    <w:rsid w:val="00E0259D"/>
    <w:rsid w:val="00E03295"/>
    <w:rsid w:val="00E07813"/>
    <w:rsid w:val="00E116C8"/>
    <w:rsid w:val="00E214F2"/>
    <w:rsid w:val="00E21972"/>
    <w:rsid w:val="00E22508"/>
    <w:rsid w:val="00E24A8B"/>
    <w:rsid w:val="00E265EF"/>
    <w:rsid w:val="00E26A01"/>
    <w:rsid w:val="00E30313"/>
    <w:rsid w:val="00E31F64"/>
    <w:rsid w:val="00E32371"/>
    <w:rsid w:val="00E3560A"/>
    <w:rsid w:val="00E4039B"/>
    <w:rsid w:val="00E42B37"/>
    <w:rsid w:val="00E51FC5"/>
    <w:rsid w:val="00E5548C"/>
    <w:rsid w:val="00E60433"/>
    <w:rsid w:val="00E60980"/>
    <w:rsid w:val="00E60F08"/>
    <w:rsid w:val="00E62474"/>
    <w:rsid w:val="00E62B04"/>
    <w:rsid w:val="00E662BF"/>
    <w:rsid w:val="00E6740B"/>
    <w:rsid w:val="00E70C10"/>
    <w:rsid w:val="00E721FE"/>
    <w:rsid w:val="00E83BBA"/>
    <w:rsid w:val="00E8729E"/>
    <w:rsid w:val="00E91DD4"/>
    <w:rsid w:val="00E91F70"/>
    <w:rsid w:val="00E93817"/>
    <w:rsid w:val="00E9577D"/>
    <w:rsid w:val="00E95798"/>
    <w:rsid w:val="00EA0986"/>
    <w:rsid w:val="00EA1067"/>
    <w:rsid w:val="00EA13C8"/>
    <w:rsid w:val="00EB4496"/>
    <w:rsid w:val="00EB512B"/>
    <w:rsid w:val="00EB7BA9"/>
    <w:rsid w:val="00EC0650"/>
    <w:rsid w:val="00EC3D9C"/>
    <w:rsid w:val="00EC430C"/>
    <w:rsid w:val="00EC5BD9"/>
    <w:rsid w:val="00EC5CA0"/>
    <w:rsid w:val="00EE153E"/>
    <w:rsid w:val="00EE184F"/>
    <w:rsid w:val="00EE257D"/>
    <w:rsid w:val="00EE3749"/>
    <w:rsid w:val="00EE54BC"/>
    <w:rsid w:val="00EE7C2C"/>
    <w:rsid w:val="00EF3307"/>
    <w:rsid w:val="00EF33E7"/>
    <w:rsid w:val="00EF7675"/>
    <w:rsid w:val="00F009BE"/>
    <w:rsid w:val="00F01B32"/>
    <w:rsid w:val="00F06E3A"/>
    <w:rsid w:val="00F132A2"/>
    <w:rsid w:val="00F1434D"/>
    <w:rsid w:val="00F248CA"/>
    <w:rsid w:val="00F261B3"/>
    <w:rsid w:val="00F26412"/>
    <w:rsid w:val="00F305FA"/>
    <w:rsid w:val="00F32720"/>
    <w:rsid w:val="00F33C70"/>
    <w:rsid w:val="00F34582"/>
    <w:rsid w:val="00F34B45"/>
    <w:rsid w:val="00F4198B"/>
    <w:rsid w:val="00F51E24"/>
    <w:rsid w:val="00F52152"/>
    <w:rsid w:val="00F535AA"/>
    <w:rsid w:val="00F65D88"/>
    <w:rsid w:val="00F6770C"/>
    <w:rsid w:val="00F67E64"/>
    <w:rsid w:val="00F70313"/>
    <w:rsid w:val="00F70443"/>
    <w:rsid w:val="00F732A1"/>
    <w:rsid w:val="00F752E1"/>
    <w:rsid w:val="00F757C7"/>
    <w:rsid w:val="00F75C27"/>
    <w:rsid w:val="00F771FB"/>
    <w:rsid w:val="00F77BE6"/>
    <w:rsid w:val="00F84231"/>
    <w:rsid w:val="00F849F0"/>
    <w:rsid w:val="00F863B9"/>
    <w:rsid w:val="00F86CC7"/>
    <w:rsid w:val="00F9128E"/>
    <w:rsid w:val="00F94222"/>
    <w:rsid w:val="00F957A0"/>
    <w:rsid w:val="00F95E33"/>
    <w:rsid w:val="00FA08C5"/>
    <w:rsid w:val="00FA1738"/>
    <w:rsid w:val="00FA497B"/>
    <w:rsid w:val="00FB30B9"/>
    <w:rsid w:val="00FB3202"/>
    <w:rsid w:val="00FB3571"/>
    <w:rsid w:val="00FB37C8"/>
    <w:rsid w:val="00FB407D"/>
    <w:rsid w:val="00FB5544"/>
    <w:rsid w:val="00FB76DD"/>
    <w:rsid w:val="00FC19E7"/>
    <w:rsid w:val="00FC21AD"/>
    <w:rsid w:val="00FC490F"/>
    <w:rsid w:val="00FC5C8E"/>
    <w:rsid w:val="00FD2758"/>
    <w:rsid w:val="00FD48A6"/>
    <w:rsid w:val="00FD7346"/>
    <w:rsid w:val="00FD74A8"/>
    <w:rsid w:val="00FE1486"/>
    <w:rsid w:val="00FE2B74"/>
    <w:rsid w:val="00FE49A3"/>
    <w:rsid w:val="00FF0C96"/>
    <w:rsid w:val="00FF2442"/>
    <w:rsid w:val="00FF320B"/>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2DE7"/>
  <w15:docId w15:val="{9130ABF6-1B76-4093-975F-BF4FDC18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paragraph" w:styleId="Header">
    <w:name w:val="header"/>
    <w:basedOn w:val="Normal"/>
    <w:link w:val="HeaderChar"/>
    <w:uiPriority w:val="99"/>
    <w:unhideWhenUsed/>
    <w:rsid w:val="0029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7CC"/>
    <w:rPr>
      <w:sz w:val="22"/>
      <w:szCs w:val="22"/>
    </w:rPr>
  </w:style>
  <w:style w:type="paragraph" w:styleId="Footer">
    <w:name w:val="footer"/>
    <w:basedOn w:val="Normal"/>
    <w:link w:val="FooterChar"/>
    <w:uiPriority w:val="99"/>
    <w:unhideWhenUsed/>
    <w:rsid w:val="0029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7CC"/>
    <w:rPr>
      <w:sz w:val="22"/>
      <w:szCs w:val="22"/>
    </w:rPr>
  </w:style>
  <w:style w:type="paragraph" w:styleId="NoSpacing">
    <w:name w:val="No Spacing"/>
    <w:link w:val="NoSpacingChar"/>
    <w:uiPriority w:val="1"/>
    <w:qFormat/>
    <w:rsid w:val="000C48C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C48C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2FB0A-8247-4A89-942E-83B7B2CC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GRWilson</dc:creator>
  <cp:lastModifiedBy>Katherene Kim</cp:lastModifiedBy>
  <cp:revision>2</cp:revision>
  <cp:lastPrinted>2015-01-16T20:21:00Z</cp:lastPrinted>
  <dcterms:created xsi:type="dcterms:W3CDTF">2022-02-28T14:53:00Z</dcterms:created>
  <dcterms:modified xsi:type="dcterms:W3CDTF">2022-02-28T14:53:00Z</dcterms:modified>
</cp:coreProperties>
</file>