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68B" w14:textId="77777777" w:rsidR="00574A35" w:rsidRDefault="00415BF9" w:rsidP="006512DC">
      <w:pPr>
        <w:spacing w:after="0" w:line="240" w:lineRule="auto"/>
        <w:jc w:val="center"/>
        <w:rPr>
          <w:b/>
          <w:sz w:val="24"/>
          <w:szCs w:val="24"/>
        </w:rPr>
      </w:pPr>
      <w:r>
        <w:rPr>
          <w:b/>
          <w:sz w:val="36"/>
          <w:szCs w:val="36"/>
        </w:rPr>
        <w:t xml:space="preserve">GENERAL RECORDS SCHEDULE 4.4:  Library Records    </w:t>
      </w:r>
    </w:p>
    <w:p w14:paraId="2715D2AC" w14:textId="77777777" w:rsidR="00574A35" w:rsidRDefault="00574A35">
      <w:pPr>
        <w:spacing w:after="0" w:line="240" w:lineRule="auto"/>
        <w:rPr>
          <w:rFonts w:cs="Calibri"/>
          <w:sz w:val="20"/>
          <w:szCs w:val="20"/>
        </w:rPr>
      </w:pPr>
    </w:p>
    <w:p w14:paraId="0B3FD19A" w14:textId="77777777" w:rsidR="00574A35" w:rsidRDefault="00415BF9">
      <w:pPr>
        <w:spacing w:after="0" w:line="240" w:lineRule="auto"/>
        <w:rPr>
          <w:rFonts w:cs="Calibri"/>
        </w:rPr>
      </w:pPr>
      <w:r>
        <w:rPr>
          <w:rFonts w:cs="Calibri"/>
        </w:rPr>
        <w:t xml:space="preserve">Agency library and information centers collect material related to their agency’s mission or focus.  This schedule only applies to library or information centers within agencies, not agencies that are themselves libraries. Library services include administering the program, collecting data and information, and transferring collected data and information to the end customer.  This schedule covers records that document agency library and information center administration and daily operations.  </w:t>
      </w:r>
    </w:p>
    <w:p w14:paraId="2A58AE81" w14:textId="77777777" w:rsidR="00574A35" w:rsidRDefault="00574A35">
      <w:pPr>
        <w:spacing w:after="0" w:line="240" w:lineRule="auto"/>
      </w:pPr>
    </w:p>
    <w:p w14:paraId="272B4F20" w14:textId="77777777" w:rsidR="00574A35" w:rsidRPr="006512DC" w:rsidRDefault="00415BF9">
      <w:pPr>
        <w:spacing w:after="0" w:line="240" w:lineRule="auto"/>
        <w:rPr>
          <w:rFonts w:asciiTheme="minorHAnsi" w:hAnsiTheme="minorHAnsi" w:cstheme="minorHAnsi"/>
          <w:b/>
        </w:rPr>
      </w:pPr>
      <w:r w:rsidRPr="006512DC">
        <w:rPr>
          <w:rFonts w:asciiTheme="minorHAnsi" w:hAnsiTheme="minorHAnsi" w:cstheme="minorHAnsi"/>
          <w:b/>
        </w:rPr>
        <w:t>Exclusions:</w:t>
      </w:r>
    </w:p>
    <w:p w14:paraId="4387444F" w14:textId="77777777" w:rsidR="00574A35" w:rsidRPr="006512DC" w:rsidRDefault="00415BF9">
      <w:pPr>
        <w:numPr>
          <w:ilvl w:val="0"/>
          <w:numId w:val="1"/>
        </w:numPr>
        <w:spacing w:after="0" w:line="240" w:lineRule="auto"/>
        <w:rPr>
          <w:rFonts w:asciiTheme="minorHAnsi" w:eastAsia="Arial" w:hAnsiTheme="minorHAnsi" w:cstheme="minorHAnsi"/>
        </w:rPr>
      </w:pPr>
      <w:r w:rsidRPr="006512DC">
        <w:rPr>
          <w:rFonts w:asciiTheme="minorHAnsi" w:hAnsiTheme="minorHAnsi" w:cstheme="minorHAnsi"/>
        </w:rPr>
        <w:t xml:space="preserve">Records of standalone libraries such as the Presidential libraries, the Library of Congress, the National Agricultural Library, the National Library of Education, the National Library of Medicine, and the National Transportation Library. </w:t>
      </w:r>
    </w:p>
    <w:p w14:paraId="375461B1" w14:textId="77777777" w:rsidR="00574A35" w:rsidRPr="006512DC" w:rsidRDefault="00415BF9">
      <w:pPr>
        <w:numPr>
          <w:ilvl w:val="0"/>
          <w:numId w:val="1"/>
        </w:numPr>
        <w:spacing w:after="0" w:line="240" w:lineRule="auto"/>
        <w:rPr>
          <w:rFonts w:asciiTheme="minorHAnsi" w:eastAsia="Arial" w:hAnsiTheme="minorHAnsi" w:cstheme="minorHAnsi"/>
        </w:rPr>
      </w:pPr>
      <w:r w:rsidRPr="006512DC">
        <w:rPr>
          <w:rFonts w:asciiTheme="minorHAnsi" w:hAnsiTheme="minorHAnsi" w:cstheme="minorHAnsi"/>
        </w:rPr>
        <w:t>Non-record material such as library and museum material agencies make or acquire and preserve solely for reference or exhibition purposes, extra copies of documents agencies preserve only for convenient reference, and stocks of publications and processed documents.</w:t>
      </w:r>
    </w:p>
    <w:p w14:paraId="3B3498B8" w14:textId="77777777" w:rsidR="00574A35" w:rsidRPr="006512DC" w:rsidRDefault="00415BF9">
      <w:pPr>
        <w:numPr>
          <w:ilvl w:val="0"/>
          <w:numId w:val="1"/>
        </w:numPr>
        <w:spacing w:after="0" w:line="240" w:lineRule="auto"/>
        <w:rPr>
          <w:rFonts w:asciiTheme="minorHAnsi" w:hAnsiTheme="minorHAnsi" w:cstheme="minorHAnsi"/>
        </w:rPr>
      </w:pPr>
      <w:r w:rsidRPr="006512DC">
        <w:rPr>
          <w:rFonts w:asciiTheme="minorHAnsi" w:hAnsiTheme="minorHAnsi" w:cstheme="minorHAnsi"/>
        </w:rPr>
        <w:t>Unique or special collections of data, technical information, or other records, which agencies must schedule based on their content.</w:t>
      </w:r>
    </w:p>
    <w:p w14:paraId="31C91A97" w14:textId="77777777" w:rsidR="00574A35" w:rsidRDefault="00574A35">
      <w:pPr>
        <w:spacing w:after="0" w:line="240" w:lineRule="auto"/>
        <w:rPr>
          <w:rFonts w:cs="Calibri"/>
        </w:rPr>
      </w:pPr>
    </w:p>
    <w:tbl>
      <w:tblPr>
        <w:tblStyle w:val="a0"/>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
        <w:gridCol w:w="10010"/>
        <w:gridCol w:w="2610"/>
        <w:gridCol w:w="1350"/>
      </w:tblGrid>
      <w:tr w:rsidR="00574A35" w14:paraId="086401A3" w14:textId="77777777" w:rsidTr="006512DC">
        <w:trPr>
          <w:tblHeader/>
        </w:trPr>
        <w:tc>
          <w:tcPr>
            <w:tcW w:w="695" w:type="dxa"/>
            <w:shd w:val="clear" w:color="auto" w:fill="B6DDE8"/>
          </w:tcPr>
          <w:p w14:paraId="0B0DF17E" w14:textId="77777777" w:rsidR="00574A35" w:rsidRDefault="00415BF9">
            <w:pPr>
              <w:spacing w:after="0" w:line="240" w:lineRule="auto"/>
              <w:jc w:val="center"/>
              <w:rPr>
                <w:rFonts w:cs="Calibri"/>
                <w:b/>
              </w:rPr>
            </w:pPr>
            <w:r>
              <w:rPr>
                <w:rFonts w:cs="Calibri"/>
                <w:b/>
              </w:rPr>
              <w:t>Item</w:t>
            </w:r>
          </w:p>
        </w:tc>
        <w:tc>
          <w:tcPr>
            <w:tcW w:w="10010" w:type="dxa"/>
            <w:shd w:val="clear" w:color="auto" w:fill="B6DDE8"/>
          </w:tcPr>
          <w:p w14:paraId="30F6320F" w14:textId="77777777" w:rsidR="00574A35" w:rsidRDefault="00415BF9">
            <w:pPr>
              <w:spacing w:after="0" w:line="240" w:lineRule="auto"/>
              <w:rPr>
                <w:rFonts w:cs="Calibri"/>
                <w:b/>
              </w:rPr>
            </w:pPr>
            <w:r>
              <w:rPr>
                <w:rFonts w:cs="Calibri"/>
                <w:b/>
              </w:rPr>
              <w:t>Records Description</w:t>
            </w:r>
          </w:p>
        </w:tc>
        <w:tc>
          <w:tcPr>
            <w:tcW w:w="2610" w:type="dxa"/>
            <w:shd w:val="clear" w:color="auto" w:fill="B6DDE8"/>
          </w:tcPr>
          <w:p w14:paraId="6FEB47A2" w14:textId="77777777" w:rsidR="00574A35" w:rsidRDefault="00415BF9">
            <w:pPr>
              <w:spacing w:after="0" w:line="240" w:lineRule="auto"/>
              <w:jc w:val="center"/>
              <w:rPr>
                <w:rFonts w:cs="Calibri"/>
                <w:b/>
              </w:rPr>
            </w:pPr>
            <w:r>
              <w:rPr>
                <w:rFonts w:cs="Calibri"/>
                <w:b/>
              </w:rPr>
              <w:t>Disposition Instruction</w:t>
            </w:r>
          </w:p>
        </w:tc>
        <w:tc>
          <w:tcPr>
            <w:tcW w:w="1350" w:type="dxa"/>
            <w:shd w:val="clear" w:color="auto" w:fill="B6DDE8"/>
          </w:tcPr>
          <w:p w14:paraId="3027F80E" w14:textId="77777777" w:rsidR="00574A35" w:rsidRDefault="00415BF9">
            <w:pPr>
              <w:spacing w:after="0" w:line="240" w:lineRule="auto"/>
              <w:jc w:val="center"/>
              <w:rPr>
                <w:rFonts w:cs="Calibri"/>
                <w:b/>
              </w:rPr>
            </w:pPr>
            <w:r>
              <w:rPr>
                <w:rFonts w:cs="Calibri"/>
                <w:b/>
              </w:rPr>
              <w:t>Disposition Authority</w:t>
            </w:r>
          </w:p>
        </w:tc>
      </w:tr>
      <w:tr w:rsidR="00574A35" w14:paraId="22A84F4C" w14:textId="77777777" w:rsidTr="006512DC">
        <w:tc>
          <w:tcPr>
            <w:tcW w:w="695" w:type="dxa"/>
          </w:tcPr>
          <w:p w14:paraId="7F9F87CD" w14:textId="77777777" w:rsidR="00574A35" w:rsidRDefault="00415BF9">
            <w:pPr>
              <w:spacing w:after="0" w:line="240" w:lineRule="auto"/>
              <w:jc w:val="center"/>
              <w:rPr>
                <w:rFonts w:cs="Calibri"/>
              </w:rPr>
            </w:pPr>
            <w:r>
              <w:rPr>
                <w:rFonts w:cs="Calibri"/>
              </w:rPr>
              <w:t>010</w:t>
            </w:r>
          </w:p>
        </w:tc>
        <w:tc>
          <w:tcPr>
            <w:tcW w:w="10010" w:type="dxa"/>
          </w:tcPr>
          <w:p w14:paraId="2629CF84" w14:textId="77777777" w:rsidR="00574A35" w:rsidRDefault="00415BF9">
            <w:pPr>
              <w:spacing w:after="0" w:line="240" w:lineRule="auto"/>
              <w:rPr>
                <w:rFonts w:cs="Calibri"/>
                <w:b/>
              </w:rPr>
            </w:pPr>
            <w:r>
              <w:rPr>
                <w:rFonts w:cs="Calibri"/>
                <w:b/>
              </w:rPr>
              <w:t>Library administrative records.</w:t>
            </w:r>
          </w:p>
          <w:p w14:paraId="2D0AC12A" w14:textId="77777777" w:rsidR="00574A35" w:rsidRDefault="00415BF9">
            <w:pPr>
              <w:spacing w:after="0" w:line="240" w:lineRule="auto"/>
              <w:ind w:left="328"/>
            </w:pPr>
            <w:r>
              <w:t>Records documenting a library’s planning and management.   Records may document library policies, procedures, and statistics.  Includes records such as:</w:t>
            </w:r>
          </w:p>
          <w:p w14:paraId="10A1234E" w14:textId="77777777" w:rsidR="00574A35" w:rsidRDefault="00415BF9">
            <w:pPr>
              <w:numPr>
                <w:ilvl w:val="0"/>
                <w:numId w:val="2"/>
              </w:numPr>
              <w:pBdr>
                <w:top w:val="nil"/>
                <w:left w:val="nil"/>
                <w:bottom w:val="nil"/>
                <w:right w:val="nil"/>
                <w:between w:val="nil"/>
              </w:pBdr>
              <w:tabs>
                <w:tab w:val="left" w:pos="620"/>
              </w:tabs>
              <w:spacing w:after="0" w:line="240" w:lineRule="auto"/>
              <w:ind w:left="785" w:hanging="425"/>
            </w:pPr>
            <w:r>
              <w:rPr>
                <w:rFonts w:cs="Calibri"/>
                <w:color w:val="000000"/>
              </w:rPr>
              <w:t>strategic plans, project plans</w:t>
            </w:r>
          </w:p>
          <w:p w14:paraId="10D41FE9" w14:textId="77777777" w:rsidR="00574A35" w:rsidRDefault="00415BF9">
            <w:pPr>
              <w:numPr>
                <w:ilvl w:val="0"/>
                <w:numId w:val="2"/>
              </w:numPr>
              <w:pBdr>
                <w:top w:val="nil"/>
                <w:left w:val="nil"/>
                <w:bottom w:val="nil"/>
                <w:right w:val="nil"/>
                <w:between w:val="nil"/>
              </w:pBdr>
              <w:tabs>
                <w:tab w:val="left" w:pos="620"/>
              </w:tabs>
              <w:spacing w:after="0" w:line="240" w:lineRule="auto"/>
              <w:ind w:left="785" w:hanging="425"/>
            </w:pPr>
            <w:r>
              <w:rPr>
                <w:rFonts w:cs="Calibri"/>
                <w:color w:val="000000"/>
              </w:rPr>
              <w:t xml:space="preserve">policies and procedures for developing collections, acquisitions, patron privacy, loans, and restricting library material </w:t>
            </w:r>
          </w:p>
          <w:p w14:paraId="34D8E671" w14:textId="77777777" w:rsidR="00574A35" w:rsidRDefault="00415BF9">
            <w:pPr>
              <w:numPr>
                <w:ilvl w:val="0"/>
                <w:numId w:val="2"/>
              </w:numPr>
              <w:pBdr>
                <w:top w:val="nil"/>
                <w:left w:val="nil"/>
                <w:bottom w:val="nil"/>
                <w:right w:val="nil"/>
                <w:between w:val="nil"/>
              </w:pBdr>
              <w:tabs>
                <w:tab w:val="left" w:pos="620"/>
              </w:tabs>
              <w:spacing w:after="0" w:line="240" w:lineRule="auto"/>
              <w:ind w:left="785" w:hanging="425"/>
            </w:pPr>
            <w:r>
              <w:rPr>
                <w:rFonts w:cs="Calibri"/>
                <w:color w:val="000000"/>
              </w:rPr>
              <w:t>promotional material describing library services and resources</w:t>
            </w:r>
          </w:p>
          <w:p w14:paraId="000D4AC1" w14:textId="6DF24B2F" w:rsidR="00574A35" w:rsidRDefault="00415BF9">
            <w:pPr>
              <w:numPr>
                <w:ilvl w:val="0"/>
                <w:numId w:val="2"/>
              </w:numPr>
              <w:pBdr>
                <w:top w:val="nil"/>
                <w:left w:val="nil"/>
                <w:bottom w:val="nil"/>
                <w:right w:val="nil"/>
                <w:between w:val="nil"/>
              </w:pBdr>
              <w:tabs>
                <w:tab w:val="left" w:pos="620"/>
              </w:tabs>
              <w:spacing w:after="0" w:line="240" w:lineRule="auto"/>
              <w:ind w:left="785" w:hanging="425"/>
            </w:pPr>
            <w:r>
              <w:rPr>
                <w:rFonts w:cs="Calibri"/>
                <w:color w:val="000000"/>
              </w:rPr>
              <w:t>correspondence and records on library staffing and relations with other libraries</w:t>
            </w:r>
          </w:p>
          <w:p w14:paraId="18F98F74" w14:textId="033B3227" w:rsidR="00574A35" w:rsidRDefault="00415BF9">
            <w:pPr>
              <w:numPr>
                <w:ilvl w:val="0"/>
                <w:numId w:val="2"/>
              </w:numPr>
              <w:pBdr>
                <w:top w:val="nil"/>
                <w:left w:val="nil"/>
                <w:bottom w:val="nil"/>
                <w:right w:val="nil"/>
                <w:between w:val="nil"/>
              </w:pBdr>
              <w:tabs>
                <w:tab w:val="left" w:pos="620"/>
              </w:tabs>
              <w:spacing w:after="0" w:line="240" w:lineRule="auto"/>
              <w:ind w:left="785" w:hanging="425"/>
            </w:pPr>
            <w:r>
              <w:rPr>
                <w:rFonts w:cs="Calibri"/>
                <w:color w:val="000000"/>
              </w:rPr>
              <w:t>quick guides to library databases and resources, topical or customized reading lists, and bibliographies</w:t>
            </w:r>
          </w:p>
          <w:p w14:paraId="3901179B" w14:textId="77777777" w:rsidR="00574A35" w:rsidRDefault="00574A35">
            <w:pPr>
              <w:spacing w:after="0" w:line="240" w:lineRule="auto"/>
              <w:ind w:left="328"/>
              <w:rPr>
                <w:b/>
              </w:rPr>
            </w:pPr>
          </w:p>
          <w:p w14:paraId="07F1917A" w14:textId="4A97D466" w:rsidR="00574A35" w:rsidRPr="006512DC" w:rsidRDefault="00415BF9" w:rsidP="006512DC">
            <w:pPr>
              <w:spacing w:after="0" w:line="240" w:lineRule="auto"/>
              <w:ind w:left="328"/>
            </w:pPr>
            <w:r>
              <w:rPr>
                <w:b/>
              </w:rPr>
              <w:t xml:space="preserve">Note:   </w:t>
            </w:r>
            <w:r>
              <w:t xml:space="preserve">For records on purchasing licenses, subscriptions, vendor services, or interagency agreements, see GRS 1.1, Financial Management and Reporting Records. </w:t>
            </w:r>
          </w:p>
        </w:tc>
        <w:tc>
          <w:tcPr>
            <w:tcW w:w="2610" w:type="dxa"/>
          </w:tcPr>
          <w:p w14:paraId="5966A9FE" w14:textId="77777777" w:rsidR="00574A35" w:rsidRDefault="00415BF9">
            <w:pPr>
              <w:spacing w:after="0" w:line="240" w:lineRule="auto"/>
              <w:rPr>
                <w:rFonts w:cs="Calibri"/>
              </w:rPr>
            </w:pPr>
            <w:r>
              <w:rPr>
                <w:rFonts w:cs="Calibri"/>
                <w:b/>
              </w:rPr>
              <w:t>Temporary.</w:t>
            </w:r>
            <w:r>
              <w:rPr>
                <w:rFonts w:cs="Calibri"/>
              </w:rPr>
              <w:t xml:space="preserve">  </w:t>
            </w:r>
            <w:r>
              <w:t>Destroy when 3 years old or 3 years after superseded or obsolete, whichever is applicable. Longer retention is authorized for business use.</w:t>
            </w:r>
          </w:p>
        </w:tc>
        <w:tc>
          <w:tcPr>
            <w:tcW w:w="1350" w:type="dxa"/>
          </w:tcPr>
          <w:p w14:paraId="529469B6" w14:textId="77777777" w:rsidR="00574A35" w:rsidRDefault="00415BF9">
            <w:pPr>
              <w:spacing w:after="0" w:line="240" w:lineRule="auto"/>
              <w:rPr>
                <w:rFonts w:cs="Calibri"/>
              </w:rPr>
            </w:pPr>
            <w:r>
              <w:rPr>
                <w:rFonts w:cs="Calibri"/>
              </w:rPr>
              <w:t>DAA-GRS-2015-0003-0001</w:t>
            </w:r>
          </w:p>
        </w:tc>
      </w:tr>
      <w:tr w:rsidR="00574A35" w14:paraId="30855964" w14:textId="77777777" w:rsidTr="006512DC">
        <w:tc>
          <w:tcPr>
            <w:tcW w:w="695" w:type="dxa"/>
          </w:tcPr>
          <w:p w14:paraId="2DF6EAD5" w14:textId="77777777" w:rsidR="00574A35" w:rsidRDefault="00415BF9">
            <w:pPr>
              <w:spacing w:after="0" w:line="240" w:lineRule="auto"/>
              <w:jc w:val="center"/>
              <w:rPr>
                <w:rFonts w:cs="Calibri"/>
              </w:rPr>
            </w:pPr>
            <w:r>
              <w:rPr>
                <w:rFonts w:cs="Calibri"/>
              </w:rPr>
              <w:t>020</w:t>
            </w:r>
          </w:p>
        </w:tc>
        <w:tc>
          <w:tcPr>
            <w:tcW w:w="10010" w:type="dxa"/>
          </w:tcPr>
          <w:p w14:paraId="749BA725" w14:textId="77777777" w:rsidR="00574A35" w:rsidRDefault="00415BF9">
            <w:pPr>
              <w:spacing w:after="0" w:line="240" w:lineRule="auto"/>
              <w:rPr>
                <w:rFonts w:cs="Calibri"/>
                <w:b/>
              </w:rPr>
            </w:pPr>
            <w:r>
              <w:rPr>
                <w:rFonts w:cs="Calibri"/>
                <w:b/>
              </w:rPr>
              <w:t>Library operations records.</w:t>
            </w:r>
          </w:p>
          <w:p w14:paraId="1268385F" w14:textId="77777777" w:rsidR="00574A35" w:rsidRDefault="00415BF9">
            <w:pPr>
              <w:spacing w:after="0" w:line="240" w:lineRule="auto"/>
              <w:ind w:left="328"/>
            </w:pPr>
            <w:r>
              <w:t>Records documenting the daily activities of running a library.   Includes:</w:t>
            </w:r>
          </w:p>
          <w:p w14:paraId="434746CA" w14:textId="77777777" w:rsidR="00574A35" w:rsidRDefault="00415BF9">
            <w:pPr>
              <w:numPr>
                <w:ilvl w:val="0"/>
                <w:numId w:val="3"/>
              </w:numPr>
              <w:pBdr>
                <w:top w:val="nil"/>
                <w:left w:val="nil"/>
                <w:bottom w:val="nil"/>
                <w:right w:val="nil"/>
                <w:between w:val="nil"/>
              </w:pBdr>
              <w:tabs>
                <w:tab w:val="left" w:pos="590"/>
              </w:tabs>
              <w:spacing w:after="0" w:line="240" w:lineRule="auto"/>
              <w:ind w:left="785" w:hanging="425"/>
              <w:rPr>
                <w:rFonts w:cs="Calibri"/>
                <w:color w:val="000000"/>
              </w:rPr>
            </w:pPr>
            <w:r>
              <w:rPr>
                <w:rFonts w:cs="Calibri"/>
                <w:color w:val="000000"/>
              </w:rPr>
              <w:t xml:space="preserve">reference inquiries and responses </w:t>
            </w:r>
          </w:p>
          <w:p w14:paraId="207388A7" w14:textId="77777777" w:rsidR="00574A35" w:rsidRDefault="00415BF9">
            <w:pPr>
              <w:numPr>
                <w:ilvl w:val="0"/>
                <w:numId w:val="3"/>
              </w:numPr>
              <w:pBdr>
                <w:top w:val="nil"/>
                <w:left w:val="nil"/>
                <w:bottom w:val="nil"/>
                <w:right w:val="nil"/>
                <w:between w:val="nil"/>
              </w:pBdr>
              <w:tabs>
                <w:tab w:val="left" w:pos="590"/>
              </w:tabs>
              <w:spacing w:after="0" w:line="240" w:lineRule="auto"/>
              <w:ind w:left="785" w:hanging="425"/>
              <w:rPr>
                <w:rFonts w:cs="Calibri"/>
                <w:color w:val="000000"/>
              </w:rPr>
            </w:pPr>
            <w:r>
              <w:rPr>
                <w:rFonts w:cs="Calibri"/>
                <w:color w:val="000000"/>
              </w:rPr>
              <w:t>correspondence and records about normal cataloging, circulation, and document delivery activities</w:t>
            </w:r>
          </w:p>
          <w:p w14:paraId="0B4E3D45" w14:textId="77777777" w:rsidR="00574A35" w:rsidRDefault="00415BF9">
            <w:pPr>
              <w:numPr>
                <w:ilvl w:val="0"/>
                <w:numId w:val="3"/>
              </w:numPr>
              <w:pBdr>
                <w:top w:val="nil"/>
                <w:left w:val="nil"/>
                <w:bottom w:val="nil"/>
                <w:right w:val="nil"/>
                <w:between w:val="nil"/>
              </w:pBdr>
              <w:tabs>
                <w:tab w:val="left" w:pos="590"/>
              </w:tabs>
              <w:spacing w:after="0" w:line="240" w:lineRule="auto"/>
              <w:ind w:left="785" w:hanging="425"/>
              <w:rPr>
                <w:rFonts w:cs="Calibri"/>
                <w:color w:val="000000"/>
              </w:rPr>
            </w:pPr>
            <w:r>
              <w:rPr>
                <w:rFonts w:cs="Calibri"/>
                <w:color w:val="000000"/>
              </w:rPr>
              <w:t>visitor logs, sign-in sheets, computer sign-up sheets, and equipment or facility registration forms</w:t>
            </w:r>
          </w:p>
          <w:p w14:paraId="078F6959" w14:textId="40424D2F" w:rsidR="00574A35" w:rsidRDefault="00415BF9" w:rsidP="006512DC">
            <w:pPr>
              <w:numPr>
                <w:ilvl w:val="0"/>
                <w:numId w:val="3"/>
              </w:numPr>
              <w:pBdr>
                <w:top w:val="nil"/>
                <w:left w:val="nil"/>
                <w:bottom w:val="nil"/>
                <w:right w:val="nil"/>
                <w:between w:val="nil"/>
              </w:pBdr>
              <w:tabs>
                <w:tab w:val="left" w:pos="590"/>
              </w:tabs>
              <w:spacing w:after="0" w:line="240" w:lineRule="auto"/>
              <w:ind w:left="785" w:hanging="425"/>
              <w:rPr>
                <w:rFonts w:cs="Calibri"/>
              </w:rPr>
            </w:pPr>
            <w:r>
              <w:rPr>
                <w:rFonts w:cs="Calibri"/>
                <w:color w:val="000000"/>
              </w:rPr>
              <w:t>photocopying and digitization requests</w:t>
            </w:r>
          </w:p>
        </w:tc>
        <w:tc>
          <w:tcPr>
            <w:tcW w:w="2610" w:type="dxa"/>
          </w:tcPr>
          <w:p w14:paraId="23C937BA" w14:textId="77777777" w:rsidR="00574A35" w:rsidRDefault="00415BF9">
            <w:pPr>
              <w:spacing w:after="0" w:line="240" w:lineRule="auto"/>
              <w:rPr>
                <w:rFonts w:cs="Calibri"/>
              </w:rPr>
            </w:pPr>
            <w:r>
              <w:rPr>
                <w:rFonts w:cs="Calibri"/>
                <w:b/>
              </w:rPr>
              <w:t>Temporary.</w:t>
            </w:r>
            <w:r>
              <w:rPr>
                <w:rFonts w:cs="Calibri"/>
              </w:rPr>
              <w:t xml:space="preserve">  Destroy when business use ceases.</w:t>
            </w:r>
          </w:p>
        </w:tc>
        <w:tc>
          <w:tcPr>
            <w:tcW w:w="1350" w:type="dxa"/>
          </w:tcPr>
          <w:p w14:paraId="796B9D7A" w14:textId="77777777" w:rsidR="00574A35" w:rsidRDefault="00415BF9">
            <w:pPr>
              <w:spacing w:after="0" w:line="240" w:lineRule="auto"/>
              <w:rPr>
                <w:rFonts w:cs="Calibri"/>
              </w:rPr>
            </w:pPr>
            <w:r>
              <w:rPr>
                <w:rFonts w:cs="Calibri"/>
              </w:rPr>
              <w:t>DAA-GRS-2015-0003-0002</w:t>
            </w:r>
          </w:p>
        </w:tc>
      </w:tr>
      <w:tr w:rsidR="00574A35" w14:paraId="51AC473C" w14:textId="77777777" w:rsidTr="006512DC">
        <w:tc>
          <w:tcPr>
            <w:tcW w:w="695" w:type="dxa"/>
          </w:tcPr>
          <w:p w14:paraId="06C325C7" w14:textId="77777777" w:rsidR="00574A35" w:rsidRDefault="00415BF9">
            <w:pPr>
              <w:spacing w:after="0" w:line="240" w:lineRule="auto"/>
              <w:rPr>
                <w:rFonts w:cs="Calibri"/>
              </w:rPr>
            </w:pPr>
            <w:r>
              <w:rPr>
                <w:rFonts w:cs="Calibri"/>
              </w:rPr>
              <w:lastRenderedPageBreak/>
              <w:t>030</w:t>
            </w:r>
          </w:p>
        </w:tc>
        <w:tc>
          <w:tcPr>
            <w:tcW w:w="10010" w:type="dxa"/>
          </w:tcPr>
          <w:p w14:paraId="078CEB9C" w14:textId="77777777" w:rsidR="00574A35" w:rsidRDefault="00415BF9">
            <w:pPr>
              <w:spacing w:after="0" w:line="240" w:lineRule="auto"/>
            </w:pPr>
            <w:r>
              <w:rPr>
                <w:rFonts w:cs="Calibri"/>
                <w:b/>
              </w:rPr>
              <w:t>Inter Library-Loan (ILL) requests.</w:t>
            </w:r>
          </w:p>
        </w:tc>
        <w:tc>
          <w:tcPr>
            <w:tcW w:w="2610" w:type="dxa"/>
          </w:tcPr>
          <w:p w14:paraId="44376882" w14:textId="77777777" w:rsidR="00574A35" w:rsidRDefault="00415BF9">
            <w:pPr>
              <w:spacing w:after="0" w:line="240" w:lineRule="auto"/>
              <w:rPr>
                <w:rFonts w:cs="Calibri"/>
              </w:rPr>
            </w:pPr>
            <w:r>
              <w:rPr>
                <w:rFonts w:cs="Calibri"/>
                <w:b/>
              </w:rPr>
              <w:t>Temporary.</w:t>
            </w:r>
            <w:r>
              <w:rPr>
                <w:rFonts w:cs="Calibri"/>
              </w:rPr>
              <w:t xml:space="preserve">  Destroy 5 years after completing the transaction.</w:t>
            </w:r>
          </w:p>
        </w:tc>
        <w:tc>
          <w:tcPr>
            <w:tcW w:w="1350" w:type="dxa"/>
          </w:tcPr>
          <w:p w14:paraId="1CB11CD8" w14:textId="77777777" w:rsidR="00574A35" w:rsidRDefault="00415BF9">
            <w:pPr>
              <w:spacing w:after="0" w:line="240" w:lineRule="auto"/>
              <w:rPr>
                <w:rFonts w:cs="Calibri"/>
              </w:rPr>
            </w:pPr>
            <w:r>
              <w:rPr>
                <w:rFonts w:cs="Calibri"/>
              </w:rPr>
              <w:t>DAA-GRS-2015-0003-0003</w:t>
            </w:r>
          </w:p>
        </w:tc>
      </w:tr>
    </w:tbl>
    <w:p w14:paraId="5935AE8C" w14:textId="77777777" w:rsidR="00574A35" w:rsidRDefault="00574A35">
      <w:pPr>
        <w:tabs>
          <w:tab w:val="left" w:pos="6285"/>
        </w:tabs>
        <w:jc w:val="center"/>
      </w:pPr>
    </w:p>
    <w:sectPr w:rsidR="00574A35" w:rsidSect="00AF0567">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630" w:bottom="576" w:left="576" w:header="720" w:footer="288" w:gutter="0"/>
      <w:pgNumType w:start="8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FBC8" w14:textId="77777777" w:rsidR="008A71F4" w:rsidRDefault="008A71F4">
      <w:pPr>
        <w:spacing w:after="0" w:line="240" w:lineRule="auto"/>
      </w:pPr>
      <w:r>
        <w:separator/>
      </w:r>
    </w:p>
  </w:endnote>
  <w:endnote w:type="continuationSeparator" w:id="0">
    <w:p w14:paraId="2C5BE60E" w14:textId="77777777" w:rsidR="008A71F4" w:rsidRDefault="008A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819F" w14:textId="77777777" w:rsidR="00574A35" w:rsidRDefault="00574A35">
    <w:pPr>
      <w:pBdr>
        <w:top w:val="nil"/>
        <w:left w:val="nil"/>
        <w:bottom w:val="nil"/>
        <w:right w:val="nil"/>
        <w:between w:val="nil"/>
      </w:pBdr>
      <w:tabs>
        <w:tab w:val="center" w:pos="4680"/>
        <w:tab w:val="right" w:pos="9360"/>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FE7F" w14:textId="1A927988" w:rsidR="00574A35" w:rsidRDefault="00574A35">
    <w:pPr>
      <w:pBdr>
        <w:top w:val="nil"/>
        <w:left w:val="nil"/>
        <w:bottom w:val="nil"/>
        <w:right w:val="nil"/>
        <w:between w:val="nil"/>
      </w:pBdr>
      <w:tabs>
        <w:tab w:val="center" w:pos="4680"/>
        <w:tab w:val="right" w:pos="9360"/>
      </w:tabs>
      <w:spacing w:after="0" w:line="240" w:lineRule="auto"/>
      <w:jc w:val="center"/>
      <w:rPr>
        <w:rFonts w:cs="Calibri"/>
        <w:color w:val="000000"/>
      </w:rPr>
    </w:pPr>
  </w:p>
  <w:p w14:paraId="7DC50FC5" w14:textId="77777777" w:rsidR="00574A35" w:rsidRDefault="00574A35">
    <w:pPr>
      <w:pBdr>
        <w:top w:val="nil"/>
        <w:left w:val="nil"/>
        <w:bottom w:val="nil"/>
        <w:right w:val="nil"/>
        <w:between w:val="nil"/>
      </w:pBdr>
      <w:tabs>
        <w:tab w:val="center" w:pos="4680"/>
        <w:tab w:val="right" w:pos="9360"/>
      </w:tabs>
      <w:spacing w:after="0" w:line="240" w:lineRule="auto"/>
      <w:jc w:val="center"/>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3582" w14:textId="77777777" w:rsidR="00574A35" w:rsidRDefault="00574A35">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7934" w14:textId="77777777" w:rsidR="008A71F4" w:rsidRDefault="008A71F4">
      <w:pPr>
        <w:spacing w:after="0" w:line="240" w:lineRule="auto"/>
      </w:pPr>
      <w:r>
        <w:separator/>
      </w:r>
    </w:p>
  </w:footnote>
  <w:footnote w:type="continuationSeparator" w:id="0">
    <w:p w14:paraId="1F42455E" w14:textId="77777777" w:rsidR="008A71F4" w:rsidRDefault="008A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8C3" w14:textId="77777777" w:rsidR="00574A35" w:rsidRDefault="00574A35">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7DD" w14:textId="25E6CF0F" w:rsidR="006512DC" w:rsidRPr="00A31178" w:rsidRDefault="00AF0567" w:rsidP="006512DC">
    <w:pPr>
      <w:pStyle w:val="Header"/>
      <w:tabs>
        <w:tab w:val="clear" w:pos="9360"/>
        <w:tab w:val="right" w:pos="14400"/>
      </w:tabs>
      <w:rPr>
        <w:b/>
        <w:bCs/>
        <w:sz w:val="20"/>
        <w:szCs w:val="20"/>
      </w:rPr>
    </w:pPr>
    <w:r>
      <w:rPr>
        <w:b/>
        <w:bCs/>
        <w:sz w:val="20"/>
        <w:szCs w:val="20"/>
      </w:rPr>
      <w:t xml:space="preserve">Last updated in </w:t>
    </w:r>
    <w:r w:rsidR="006512DC" w:rsidRPr="00A31178">
      <w:rPr>
        <w:b/>
        <w:bCs/>
        <w:sz w:val="20"/>
        <w:szCs w:val="20"/>
      </w:rPr>
      <w:t xml:space="preserve">Transmittal No. </w:t>
    </w:r>
    <w:r w:rsidR="006512DC">
      <w:rPr>
        <w:b/>
        <w:bCs/>
        <w:sz w:val="20"/>
        <w:szCs w:val="20"/>
      </w:rPr>
      <w:t>32</w:t>
    </w:r>
    <w:r w:rsidR="006512DC" w:rsidRPr="00A31178">
      <w:rPr>
        <w:b/>
        <w:bCs/>
        <w:sz w:val="20"/>
        <w:szCs w:val="20"/>
      </w:rPr>
      <w:tab/>
    </w:r>
    <w:r w:rsidR="006512DC" w:rsidRPr="00A31178">
      <w:rPr>
        <w:b/>
        <w:bCs/>
        <w:sz w:val="20"/>
        <w:szCs w:val="20"/>
      </w:rPr>
      <w:tab/>
      <w:t>General Records Schedule</w:t>
    </w:r>
    <w:r w:rsidR="006512DC">
      <w:rPr>
        <w:b/>
        <w:bCs/>
        <w:sz w:val="20"/>
        <w:szCs w:val="20"/>
      </w:rPr>
      <w:t xml:space="preserve"> </w:t>
    </w:r>
    <w:r w:rsidR="00D16770">
      <w:rPr>
        <w:b/>
        <w:bCs/>
        <w:sz w:val="20"/>
        <w:szCs w:val="20"/>
      </w:rPr>
      <w:t>4</w:t>
    </w:r>
    <w:r w:rsidR="006512DC">
      <w:rPr>
        <w:b/>
        <w:bCs/>
        <w:sz w:val="20"/>
        <w:szCs w:val="20"/>
      </w:rPr>
      <w:t>.4</w:t>
    </w:r>
  </w:p>
  <w:p w14:paraId="166487B3" w14:textId="301F6A6B" w:rsidR="006512DC" w:rsidRPr="006512DC" w:rsidRDefault="006512DC" w:rsidP="006512DC">
    <w:pPr>
      <w:pStyle w:val="Header"/>
      <w:rPr>
        <w:b/>
        <w:bCs/>
        <w:sz w:val="20"/>
        <w:szCs w:val="20"/>
      </w:rPr>
    </w:pPr>
    <w:r>
      <w:rPr>
        <w:b/>
        <w:bCs/>
        <w:sz w:val="20"/>
        <w:szCs w:val="20"/>
      </w:rPr>
      <w:t>March</w:t>
    </w:r>
    <w:r w:rsidRPr="00B43268">
      <w:rPr>
        <w:b/>
        <w:bCs/>
        <w:sz w:val="20"/>
        <w:szCs w:val="20"/>
      </w:rPr>
      <w:t xml:space="preserve"> </w:t>
    </w:r>
    <w:r>
      <w:rPr>
        <w:b/>
        <w:bCs/>
        <w:sz w:val="20"/>
        <w:szCs w:val="20"/>
      </w:rPr>
      <w:t>2022</w:t>
    </w:r>
  </w:p>
  <w:p w14:paraId="05262C48" w14:textId="77777777" w:rsidR="00574A35" w:rsidRDefault="00574A35">
    <w:pPr>
      <w:pBdr>
        <w:top w:val="nil"/>
        <w:left w:val="nil"/>
        <w:bottom w:val="nil"/>
        <w:right w:val="nil"/>
        <w:between w:val="nil"/>
      </w:pBdr>
      <w:tabs>
        <w:tab w:val="center" w:pos="4680"/>
        <w:tab w:val="right" w:pos="9360"/>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E78E" w14:textId="77777777" w:rsidR="00574A35" w:rsidRDefault="00574A35">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A98"/>
    <w:multiLevelType w:val="multilevel"/>
    <w:tmpl w:val="69926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E21F2"/>
    <w:multiLevelType w:val="multilevel"/>
    <w:tmpl w:val="D2883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CF03F1"/>
    <w:multiLevelType w:val="multilevel"/>
    <w:tmpl w:val="BB4A8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35"/>
    <w:rsid w:val="0009060B"/>
    <w:rsid w:val="00215124"/>
    <w:rsid w:val="0039104C"/>
    <w:rsid w:val="00415BF9"/>
    <w:rsid w:val="004C3DE9"/>
    <w:rsid w:val="00574A35"/>
    <w:rsid w:val="006512DC"/>
    <w:rsid w:val="00770713"/>
    <w:rsid w:val="007F40AA"/>
    <w:rsid w:val="008A71F4"/>
    <w:rsid w:val="00AF0567"/>
    <w:rsid w:val="00B35D20"/>
    <w:rsid w:val="00B67173"/>
    <w:rsid w:val="00D1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A81B"/>
  <w15:docId w15:val="{E29FC1AC-F3C0-456B-91A2-D7016FF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3C"/>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513C"/>
    <w:pPr>
      <w:ind w:left="720"/>
      <w:contextualSpacing/>
    </w:pPr>
  </w:style>
  <w:style w:type="paragraph" w:styleId="Header">
    <w:name w:val="header"/>
    <w:basedOn w:val="Normal"/>
    <w:link w:val="HeaderChar"/>
    <w:uiPriority w:val="99"/>
    <w:unhideWhenUsed/>
    <w:rsid w:val="006F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3C"/>
    <w:rPr>
      <w:rFonts w:ascii="Calibri" w:eastAsia="Calibri" w:hAnsi="Calibri" w:cs="Times New Roman"/>
    </w:rPr>
  </w:style>
  <w:style w:type="paragraph" w:styleId="Footer">
    <w:name w:val="footer"/>
    <w:basedOn w:val="Normal"/>
    <w:link w:val="FooterChar"/>
    <w:uiPriority w:val="99"/>
    <w:unhideWhenUsed/>
    <w:rsid w:val="006F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3C"/>
    <w:rPr>
      <w:rFonts w:ascii="Calibri" w:eastAsia="Calibri" w:hAnsi="Calibri" w:cs="Times New Roman"/>
    </w:rPr>
  </w:style>
  <w:style w:type="character" w:styleId="CommentReference">
    <w:name w:val="annotation reference"/>
    <w:basedOn w:val="DefaultParagraphFont"/>
    <w:uiPriority w:val="99"/>
    <w:semiHidden/>
    <w:unhideWhenUsed/>
    <w:rsid w:val="00505C4D"/>
    <w:rPr>
      <w:sz w:val="16"/>
      <w:szCs w:val="16"/>
    </w:rPr>
  </w:style>
  <w:style w:type="paragraph" w:styleId="CommentText">
    <w:name w:val="annotation text"/>
    <w:basedOn w:val="Normal"/>
    <w:link w:val="CommentTextChar"/>
    <w:uiPriority w:val="99"/>
    <w:semiHidden/>
    <w:unhideWhenUsed/>
    <w:rsid w:val="00505C4D"/>
    <w:pPr>
      <w:spacing w:line="240" w:lineRule="auto"/>
    </w:pPr>
    <w:rPr>
      <w:sz w:val="20"/>
      <w:szCs w:val="20"/>
    </w:rPr>
  </w:style>
  <w:style w:type="character" w:customStyle="1" w:styleId="CommentTextChar">
    <w:name w:val="Comment Text Char"/>
    <w:basedOn w:val="DefaultParagraphFont"/>
    <w:link w:val="CommentText"/>
    <w:uiPriority w:val="99"/>
    <w:semiHidden/>
    <w:rsid w:val="00505C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5C4D"/>
    <w:rPr>
      <w:b/>
      <w:bCs/>
    </w:rPr>
  </w:style>
  <w:style w:type="character" w:customStyle="1" w:styleId="CommentSubjectChar">
    <w:name w:val="Comment Subject Char"/>
    <w:basedOn w:val="CommentTextChar"/>
    <w:link w:val="CommentSubject"/>
    <w:uiPriority w:val="99"/>
    <w:semiHidden/>
    <w:rsid w:val="00505C4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0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4D"/>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74T9CaHkAx8+e0g8ilbQx8w8aw==">AMUW2mXjB/phdRtjsmjgWlkmN8uMrl0q3qnpNWBacwFZnu4jGXq0eHf2NqCDz4wqR0jr2uMoUTP5MfR0Ul4td+WaPcVXwOktPbsDbzHodFaAmgX0SC8WWPv8bpJ9sFoa7t3l7VDsEck1kqrwVNYlc5CmyvUH4KLfh4Zc8HMLQnY5LG/zPYPgmZyIfDRTaRRmD8yDMExZeuys3qSOorBAjuMwBDc5FZ48Ockf0MJYG/qttVDZTBYCg3Fd6Tq98pOZKk9tOHH18qQe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kkim</dc:creator>
  <cp:lastModifiedBy>Katherene Kim</cp:lastModifiedBy>
  <cp:revision>2</cp:revision>
  <dcterms:created xsi:type="dcterms:W3CDTF">2022-02-28T14:57:00Z</dcterms:created>
  <dcterms:modified xsi:type="dcterms:W3CDTF">2022-02-28T14:57:00Z</dcterms:modified>
</cp:coreProperties>
</file>